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4A0" w:firstRow="1" w:lastRow="0" w:firstColumn="1" w:lastColumn="0" w:noHBand="0" w:noVBand="1"/>
      </w:tblPr>
      <w:tblGrid>
        <w:gridCol w:w="2438"/>
        <w:gridCol w:w="6406"/>
      </w:tblGrid>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To</w:t>
            </w:r>
            <w:r w:rsidR="005C35A5" w:rsidRPr="00975B07">
              <w:rPr>
                <w:rStyle w:val="Firstpagetablebold"/>
              </w:rPr>
              <w:t>:</w:t>
            </w:r>
          </w:p>
        </w:tc>
        <w:tc>
          <w:tcPr>
            <w:tcW w:w="6406" w:type="dxa"/>
            <w:shd w:val="clear" w:color="auto" w:fill="auto"/>
          </w:tcPr>
          <w:p w:rsidR="00F445B1" w:rsidRDefault="00966F41" w:rsidP="004A6D2F">
            <w:pPr>
              <w:rPr>
                <w:rStyle w:val="Firstpagetablebold"/>
              </w:rPr>
            </w:pPr>
            <w:r>
              <w:rPr>
                <w:rStyle w:val="Firstpagetablebold"/>
              </w:rPr>
              <w:t>Cabinet</w:t>
            </w:r>
          </w:p>
          <w:p w:rsidR="002F0E22" w:rsidRPr="00F95BC9" w:rsidRDefault="002F0E22" w:rsidP="004A6D2F">
            <w:pPr>
              <w:rPr>
                <w:rStyle w:val="Firstpagetablebold"/>
              </w:rPr>
            </w:pPr>
            <w:r>
              <w:rPr>
                <w:rStyle w:val="Firstpagetablebold"/>
              </w:rPr>
              <w:t>Council</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Dat</w:t>
            </w:r>
            <w:r w:rsidR="005C35A5" w:rsidRPr="00975B07">
              <w:rPr>
                <w:rStyle w:val="Firstpagetablebold"/>
              </w:rPr>
              <w:t>e:</w:t>
            </w:r>
          </w:p>
        </w:tc>
        <w:tc>
          <w:tcPr>
            <w:tcW w:w="6406" w:type="dxa"/>
            <w:shd w:val="clear" w:color="auto" w:fill="auto"/>
          </w:tcPr>
          <w:p w:rsidR="00F445B1" w:rsidRDefault="005E7070" w:rsidP="00C66A11">
            <w:pPr>
              <w:rPr>
                <w:rStyle w:val="Firstpagetablebold"/>
              </w:rPr>
            </w:pPr>
            <w:r>
              <w:rPr>
                <w:rStyle w:val="Firstpagetablebold"/>
              </w:rPr>
              <w:t>21</w:t>
            </w:r>
            <w:r w:rsidR="00177372">
              <w:rPr>
                <w:rStyle w:val="Firstpagetablebold"/>
              </w:rPr>
              <w:t xml:space="preserve"> </w:t>
            </w:r>
            <w:r w:rsidR="00965E39">
              <w:rPr>
                <w:rStyle w:val="Firstpagetablebold"/>
              </w:rPr>
              <w:t>Ju</w:t>
            </w:r>
            <w:r w:rsidR="00C66A11">
              <w:rPr>
                <w:rStyle w:val="Firstpagetablebold"/>
              </w:rPr>
              <w:t>ly</w:t>
            </w:r>
            <w:r w:rsidR="00A51D06">
              <w:rPr>
                <w:rStyle w:val="Firstpagetablebold"/>
              </w:rPr>
              <w:t xml:space="preserve"> </w:t>
            </w:r>
            <w:r w:rsidR="0074109C">
              <w:rPr>
                <w:rStyle w:val="Firstpagetablebold"/>
              </w:rPr>
              <w:t>202</w:t>
            </w:r>
            <w:r w:rsidR="00B1310E">
              <w:rPr>
                <w:rStyle w:val="Firstpagetablebold"/>
              </w:rPr>
              <w:t>1</w:t>
            </w:r>
          </w:p>
          <w:p w:rsidR="002F0E22" w:rsidRPr="001356F1" w:rsidRDefault="005E7070" w:rsidP="00C66A11">
            <w:pPr>
              <w:rPr>
                <w:b/>
              </w:rPr>
            </w:pPr>
            <w:r>
              <w:rPr>
                <w:rStyle w:val="Firstpagetablebold"/>
              </w:rPr>
              <w:t>26</w:t>
            </w:r>
            <w:r w:rsidR="002F0E22">
              <w:rPr>
                <w:rStyle w:val="Firstpagetablebold"/>
              </w:rPr>
              <w:t xml:space="preserve"> July 2021</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Report of</w:t>
            </w:r>
            <w:r w:rsidR="005C35A5" w:rsidRPr="00975B07">
              <w:rPr>
                <w:rStyle w:val="Firstpagetablebold"/>
              </w:rPr>
              <w:t>:</w:t>
            </w:r>
          </w:p>
        </w:tc>
        <w:tc>
          <w:tcPr>
            <w:tcW w:w="6406" w:type="dxa"/>
            <w:shd w:val="clear" w:color="auto" w:fill="auto"/>
          </w:tcPr>
          <w:p w:rsidR="0021127E" w:rsidRPr="001356F1" w:rsidRDefault="00177372" w:rsidP="00B60DCA">
            <w:pPr>
              <w:rPr>
                <w:rStyle w:val="Firstpagetablebold"/>
              </w:rPr>
            </w:pPr>
            <w:r>
              <w:rPr>
                <w:rStyle w:val="Firstpagetablebold"/>
              </w:rPr>
              <w:t>Head of Financial Services</w:t>
            </w:r>
          </w:p>
        </w:tc>
      </w:tr>
      <w:tr w:rsidR="00CE544A" w:rsidRPr="00975B07" w:rsidTr="005F7F7E">
        <w:tc>
          <w:tcPr>
            <w:tcW w:w="2438" w:type="dxa"/>
            <w:shd w:val="clear" w:color="auto" w:fill="auto"/>
          </w:tcPr>
          <w:p w:rsidR="00F445B1" w:rsidRPr="00975B07" w:rsidRDefault="00F445B1" w:rsidP="004A6D2F">
            <w:pPr>
              <w:rPr>
                <w:rStyle w:val="Firstpagetablebold"/>
              </w:rPr>
            </w:pPr>
            <w:r w:rsidRPr="00975B07">
              <w:rPr>
                <w:rStyle w:val="Firstpagetablebold"/>
              </w:rPr>
              <w:t xml:space="preserve">Title of Report: </w:t>
            </w:r>
          </w:p>
        </w:tc>
        <w:tc>
          <w:tcPr>
            <w:tcW w:w="6406" w:type="dxa"/>
            <w:shd w:val="clear" w:color="auto" w:fill="auto"/>
          </w:tcPr>
          <w:p w:rsidR="00F445B1" w:rsidRPr="001356F1" w:rsidRDefault="00B60DCA" w:rsidP="00B60DCA">
            <w:pPr>
              <w:rPr>
                <w:rStyle w:val="Firstpagetablebold"/>
              </w:rPr>
            </w:pPr>
            <w:r>
              <w:rPr>
                <w:rStyle w:val="Firstpagetablebold"/>
              </w:rPr>
              <w:t>Financial Ou</w:t>
            </w:r>
            <w:r w:rsidR="00DE5019">
              <w:rPr>
                <w:rStyle w:val="Firstpagetablebold"/>
              </w:rPr>
              <w:t>t</w:t>
            </w:r>
            <w:r>
              <w:rPr>
                <w:rStyle w:val="Firstpagetablebold"/>
              </w:rPr>
              <w:t>turn report</w:t>
            </w:r>
            <w:r w:rsidR="00B1310E">
              <w:rPr>
                <w:rStyle w:val="Firstpagetablebold"/>
              </w:rPr>
              <w:t xml:space="preserve"> 2020</w:t>
            </w:r>
            <w:r w:rsidR="00C00652">
              <w:rPr>
                <w:rStyle w:val="Firstpagetablebold"/>
              </w:rPr>
              <w:t>/</w:t>
            </w:r>
            <w:r w:rsidR="0074109C">
              <w:rPr>
                <w:rStyle w:val="Firstpagetablebold"/>
              </w:rPr>
              <w:t>2</w:t>
            </w:r>
            <w:r w:rsidR="00B1310E">
              <w:rPr>
                <w:rStyle w:val="Firstpagetablebold"/>
              </w:rPr>
              <w:t>1</w:t>
            </w:r>
          </w:p>
        </w:tc>
      </w:tr>
    </w:tbl>
    <w:p w:rsidR="004F20EF" w:rsidRDefault="004F20EF" w:rsidP="004A6D2F"/>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48"/>
        <w:gridCol w:w="6565"/>
      </w:tblGrid>
      <w:tr w:rsidR="00D5547E" w:rsidTr="00684EE2">
        <w:tc>
          <w:tcPr>
            <w:tcW w:w="8813" w:type="dxa"/>
            <w:gridSpan w:val="2"/>
            <w:tcBorders>
              <w:bottom w:val="single" w:sz="8" w:space="0" w:color="000000"/>
            </w:tcBorders>
            <w:hideMark/>
          </w:tcPr>
          <w:p w:rsidR="00D5547E" w:rsidRDefault="00745BF0" w:rsidP="00745BF0">
            <w:pPr>
              <w:jc w:val="center"/>
              <w:rPr>
                <w:rStyle w:val="Firstpagetablebold"/>
              </w:rPr>
            </w:pPr>
            <w:r>
              <w:rPr>
                <w:rStyle w:val="Firstpagetablebold"/>
              </w:rPr>
              <w:t>Summary and r</w:t>
            </w:r>
            <w:r w:rsidR="00D5547E">
              <w:rPr>
                <w:rStyle w:val="Firstpagetablebold"/>
              </w:rPr>
              <w:t>ecommendations</w:t>
            </w:r>
          </w:p>
        </w:tc>
      </w:tr>
      <w:tr w:rsidR="00D5547E" w:rsidTr="00684EE2">
        <w:tc>
          <w:tcPr>
            <w:tcW w:w="2248" w:type="dxa"/>
            <w:tcBorders>
              <w:top w:val="single" w:sz="8" w:space="0" w:color="000000"/>
              <w:left w:val="single" w:sz="8" w:space="0" w:color="000000"/>
              <w:bottom w:val="nil"/>
              <w:right w:val="nil"/>
            </w:tcBorders>
            <w:hideMark/>
          </w:tcPr>
          <w:p w:rsidR="00D5547E" w:rsidRDefault="00D5547E">
            <w:pPr>
              <w:rPr>
                <w:rStyle w:val="Firstpagetablebold"/>
              </w:rPr>
            </w:pPr>
            <w:r>
              <w:rPr>
                <w:rStyle w:val="Firstpagetablebold"/>
              </w:rPr>
              <w:t>Purpose of report:</w:t>
            </w:r>
          </w:p>
        </w:tc>
        <w:tc>
          <w:tcPr>
            <w:tcW w:w="6565" w:type="dxa"/>
            <w:tcBorders>
              <w:top w:val="single" w:sz="8" w:space="0" w:color="000000"/>
              <w:left w:val="nil"/>
              <w:bottom w:val="nil"/>
              <w:right w:val="single" w:sz="8" w:space="0" w:color="000000"/>
            </w:tcBorders>
            <w:hideMark/>
          </w:tcPr>
          <w:p w:rsidR="00D5547E" w:rsidRPr="001356F1" w:rsidRDefault="00A91B9B" w:rsidP="00B60DCA">
            <w:r>
              <w:t xml:space="preserve">To update Members on </w:t>
            </w:r>
            <w:r w:rsidR="00965E39">
              <w:t xml:space="preserve">the financial </w:t>
            </w:r>
            <w:r w:rsidR="00B60DCA">
              <w:t>ou</w:t>
            </w:r>
            <w:r w:rsidR="00DE5019">
              <w:t>t</w:t>
            </w:r>
            <w:r w:rsidR="00B60DCA">
              <w:t>turn for the year ending 31</w:t>
            </w:r>
            <w:r w:rsidR="00B60DCA" w:rsidRPr="00DE5019">
              <w:rPr>
                <w:vertAlign w:val="superscript"/>
              </w:rPr>
              <w:t>st</w:t>
            </w:r>
            <w:r w:rsidR="00B60DCA">
              <w:t xml:space="preserve"> March 2021</w:t>
            </w:r>
            <w:r w:rsidR="00964187">
              <w:t>.</w:t>
            </w:r>
          </w:p>
        </w:tc>
      </w:tr>
      <w:tr w:rsidR="00D5547E" w:rsidTr="00684EE2">
        <w:tc>
          <w:tcPr>
            <w:tcW w:w="2248" w:type="dxa"/>
            <w:tcBorders>
              <w:top w:val="nil"/>
              <w:left w:val="single" w:sz="8" w:space="0" w:color="000000"/>
              <w:bottom w:val="nil"/>
              <w:right w:val="nil"/>
            </w:tcBorders>
            <w:hideMark/>
          </w:tcPr>
          <w:p w:rsidR="00D5547E" w:rsidRDefault="00D5547E">
            <w:pPr>
              <w:rPr>
                <w:rStyle w:val="Firstpagetablebold"/>
              </w:rPr>
            </w:pPr>
            <w:r>
              <w:rPr>
                <w:rStyle w:val="Firstpagetablebold"/>
              </w:rPr>
              <w:t>Key decision:</w:t>
            </w:r>
          </w:p>
        </w:tc>
        <w:tc>
          <w:tcPr>
            <w:tcW w:w="6565" w:type="dxa"/>
            <w:tcBorders>
              <w:top w:val="nil"/>
              <w:left w:val="nil"/>
              <w:bottom w:val="nil"/>
              <w:right w:val="single" w:sz="8" w:space="0" w:color="000000"/>
            </w:tcBorders>
            <w:hideMark/>
          </w:tcPr>
          <w:p w:rsidR="00D5547E" w:rsidRPr="001356F1" w:rsidRDefault="00A41AC7" w:rsidP="005F7F7E">
            <w:r>
              <w:t>Yes</w:t>
            </w:r>
          </w:p>
        </w:tc>
      </w:tr>
      <w:tr w:rsidR="00D5547E" w:rsidTr="00684EE2">
        <w:tc>
          <w:tcPr>
            <w:tcW w:w="2248" w:type="dxa"/>
            <w:tcBorders>
              <w:top w:val="nil"/>
              <w:left w:val="single" w:sz="8" w:space="0" w:color="000000"/>
              <w:bottom w:val="nil"/>
              <w:right w:val="nil"/>
            </w:tcBorders>
            <w:hideMark/>
          </w:tcPr>
          <w:p w:rsidR="00D5547E" w:rsidRDefault="0074109C">
            <w:pPr>
              <w:rPr>
                <w:rStyle w:val="Firstpagetablebold"/>
              </w:rPr>
            </w:pPr>
            <w:r>
              <w:rPr>
                <w:rStyle w:val="Firstpagetablebold"/>
              </w:rPr>
              <w:t>Cabinet</w:t>
            </w:r>
            <w:r w:rsidR="00D5547E">
              <w:rPr>
                <w:rStyle w:val="Firstpagetablebold"/>
              </w:rPr>
              <w:t xml:space="preserve"> Member:</w:t>
            </w:r>
          </w:p>
        </w:tc>
        <w:tc>
          <w:tcPr>
            <w:tcW w:w="6565" w:type="dxa"/>
            <w:tcBorders>
              <w:top w:val="nil"/>
              <w:left w:val="nil"/>
              <w:bottom w:val="nil"/>
              <w:right w:val="single" w:sz="8" w:space="0" w:color="000000"/>
            </w:tcBorders>
            <w:hideMark/>
          </w:tcPr>
          <w:p w:rsidR="00D5547E" w:rsidRPr="001356F1" w:rsidRDefault="00D5547E" w:rsidP="00FB70AC">
            <w:r w:rsidRPr="001356F1">
              <w:t xml:space="preserve">Councillor </w:t>
            </w:r>
            <w:r w:rsidR="00FB70AC">
              <w:t>Ed Turner</w:t>
            </w:r>
          </w:p>
        </w:tc>
      </w:tr>
      <w:tr w:rsidR="0080749A" w:rsidTr="00684EE2">
        <w:tc>
          <w:tcPr>
            <w:tcW w:w="2248" w:type="dxa"/>
            <w:tcBorders>
              <w:top w:val="nil"/>
              <w:left w:val="single" w:sz="8" w:space="0" w:color="000000"/>
              <w:bottom w:val="nil"/>
              <w:right w:val="nil"/>
            </w:tcBorders>
          </w:tcPr>
          <w:p w:rsidR="0080749A" w:rsidRDefault="0080749A">
            <w:pPr>
              <w:rPr>
                <w:rStyle w:val="Firstpagetablebold"/>
              </w:rPr>
            </w:pPr>
            <w:r>
              <w:rPr>
                <w:rStyle w:val="Firstpagetablebold"/>
              </w:rPr>
              <w:t>Corporate Priority:</w:t>
            </w:r>
          </w:p>
        </w:tc>
        <w:tc>
          <w:tcPr>
            <w:tcW w:w="6565" w:type="dxa"/>
            <w:tcBorders>
              <w:top w:val="nil"/>
              <w:left w:val="nil"/>
              <w:bottom w:val="nil"/>
              <w:right w:val="single" w:sz="8" w:space="0" w:color="000000"/>
            </w:tcBorders>
          </w:tcPr>
          <w:p w:rsidR="0080749A" w:rsidRPr="001356F1" w:rsidRDefault="00101F11" w:rsidP="005F7F7E">
            <w:r>
              <w:t>All</w:t>
            </w:r>
          </w:p>
        </w:tc>
      </w:tr>
      <w:tr w:rsidR="00D5547E" w:rsidTr="00684EE2">
        <w:tc>
          <w:tcPr>
            <w:tcW w:w="2248" w:type="dxa"/>
            <w:tcBorders>
              <w:top w:val="nil"/>
              <w:left w:val="single" w:sz="8" w:space="0" w:color="000000"/>
              <w:bottom w:val="nil"/>
              <w:right w:val="nil"/>
            </w:tcBorders>
            <w:hideMark/>
          </w:tcPr>
          <w:p w:rsidR="00D5547E" w:rsidRDefault="00D5547E" w:rsidP="00101F11">
            <w:pPr>
              <w:rPr>
                <w:rStyle w:val="Firstpagetablebold"/>
              </w:rPr>
            </w:pPr>
            <w:r>
              <w:rPr>
                <w:rStyle w:val="Firstpagetablebold"/>
              </w:rPr>
              <w:t>Policy Framework:</w:t>
            </w:r>
            <w:r w:rsidR="00101F11">
              <w:rPr>
                <w:rStyle w:val="Firstpagetablebold"/>
              </w:rPr>
              <w:t xml:space="preserve">  </w:t>
            </w:r>
          </w:p>
        </w:tc>
        <w:tc>
          <w:tcPr>
            <w:tcW w:w="6565" w:type="dxa"/>
            <w:tcBorders>
              <w:top w:val="nil"/>
              <w:left w:val="nil"/>
              <w:bottom w:val="nil"/>
              <w:right w:val="single" w:sz="8" w:space="0" w:color="000000"/>
            </w:tcBorders>
            <w:hideMark/>
          </w:tcPr>
          <w:p w:rsidR="00D5547E" w:rsidRPr="001356F1" w:rsidRDefault="00101F11" w:rsidP="005F7F7E">
            <w:bookmarkStart w:id="0" w:name="_GoBack"/>
            <w:bookmarkEnd w:id="0"/>
            <w:r>
              <w:rPr>
                <w:rFonts w:cs="Arial"/>
              </w:rPr>
              <w:t>Council Strategy 2020-24</w:t>
            </w:r>
          </w:p>
        </w:tc>
      </w:tr>
      <w:tr w:rsidR="005F7F7E" w:rsidRPr="00975B07" w:rsidTr="00684EE2">
        <w:trPr>
          <w:trHeight w:val="413"/>
        </w:trPr>
        <w:tc>
          <w:tcPr>
            <w:tcW w:w="8813" w:type="dxa"/>
            <w:gridSpan w:val="2"/>
            <w:tcBorders>
              <w:bottom w:val="single" w:sz="8" w:space="0" w:color="000000"/>
            </w:tcBorders>
          </w:tcPr>
          <w:p w:rsidR="005F7F7E" w:rsidRPr="00975B07" w:rsidRDefault="005E7070" w:rsidP="00966F41">
            <w:r>
              <w:rPr>
                <w:rStyle w:val="Firstpagetablebold"/>
              </w:rPr>
              <w:t>Recommendations</w:t>
            </w:r>
            <w:r w:rsidR="005F7F7E">
              <w:rPr>
                <w:rStyle w:val="Firstpagetablebold"/>
              </w:rPr>
              <w:t>:</w:t>
            </w:r>
            <w:r w:rsidR="007E64F0">
              <w:rPr>
                <w:rStyle w:val="Firstpagetablebold"/>
              </w:rPr>
              <w:t xml:space="preserve"> </w:t>
            </w:r>
            <w:r w:rsidRPr="005E7070">
              <w:rPr>
                <w:rStyle w:val="Firstpagetablebold"/>
                <w:b w:val="0"/>
              </w:rPr>
              <w:t xml:space="preserve">That </w:t>
            </w:r>
            <w:r w:rsidR="00966F41" w:rsidRPr="005E7070">
              <w:rPr>
                <w:rStyle w:val="Firstpagetablebold"/>
                <w:b w:val="0"/>
              </w:rPr>
              <w:t>Cabinet</w:t>
            </w:r>
            <w:r w:rsidR="00A85B0E" w:rsidRPr="005E7070">
              <w:rPr>
                <w:rStyle w:val="Firstpagetablebold"/>
                <w:b w:val="0"/>
              </w:rPr>
              <w:t xml:space="preserve"> resolves to</w:t>
            </w:r>
            <w:r w:rsidR="005F7F7E" w:rsidRPr="005E7070">
              <w:rPr>
                <w:rStyle w:val="Firstpagetablebold"/>
                <w:b w:val="0"/>
              </w:rPr>
              <w:t>:</w:t>
            </w:r>
          </w:p>
        </w:tc>
      </w:tr>
      <w:tr w:rsidR="0021127E" w:rsidRPr="00B1310E" w:rsidTr="0021127E">
        <w:trPr>
          <w:trHeight w:val="714"/>
        </w:trPr>
        <w:tc>
          <w:tcPr>
            <w:tcW w:w="8813" w:type="dxa"/>
            <w:gridSpan w:val="2"/>
            <w:tcBorders>
              <w:top w:val="single" w:sz="8" w:space="0" w:color="000000"/>
              <w:left w:val="single" w:sz="8" w:space="0" w:color="000000"/>
              <w:bottom w:val="nil"/>
              <w:right w:val="single" w:sz="8" w:space="0" w:color="000000"/>
            </w:tcBorders>
          </w:tcPr>
          <w:p w:rsidR="0021127E" w:rsidRPr="00140E06" w:rsidRDefault="0021127E" w:rsidP="00140E06">
            <w:pPr>
              <w:pStyle w:val="ListParagraph"/>
              <w:numPr>
                <w:ilvl w:val="0"/>
                <w:numId w:val="27"/>
              </w:numPr>
              <w:tabs>
                <w:tab w:val="clear" w:pos="426"/>
              </w:tabs>
              <w:spacing w:after="0"/>
              <w:ind w:left="483" w:hanging="425"/>
              <w:rPr>
                <w:rStyle w:val="Firstpagetablebold"/>
                <w:b w:val="0"/>
                <w:color w:val="000000" w:themeColor="text1"/>
              </w:rPr>
            </w:pPr>
            <w:r w:rsidRPr="005E7070">
              <w:rPr>
                <w:rStyle w:val="Firstpagetablebold"/>
                <w:color w:val="000000" w:themeColor="text1"/>
              </w:rPr>
              <w:t>Note</w:t>
            </w:r>
            <w:r w:rsidRPr="00140E06">
              <w:rPr>
                <w:rStyle w:val="Firstpagetablebold"/>
                <w:b w:val="0"/>
                <w:color w:val="000000" w:themeColor="text1"/>
              </w:rPr>
              <w:t xml:space="preserve"> the financial outturn and performance of the Council for the year 2020/21 and also the position on risks outstanding as at 31</w:t>
            </w:r>
            <w:r w:rsidRPr="00140E06">
              <w:rPr>
                <w:rStyle w:val="Firstpagetablebold"/>
                <w:b w:val="0"/>
                <w:color w:val="000000" w:themeColor="text1"/>
                <w:vertAlign w:val="superscript"/>
              </w:rPr>
              <w:t>st</w:t>
            </w:r>
            <w:r w:rsidRPr="00140E06">
              <w:rPr>
                <w:rStyle w:val="Firstpagetablebold"/>
                <w:b w:val="0"/>
                <w:color w:val="000000" w:themeColor="text1"/>
              </w:rPr>
              <w:t xml:space="preserve"> March 2021;</w:t>
            </w:r>
          </w:p>
          <w:p w:rsidR="0021127E" w:rsidRDefault="0021127E" w:rsidP="00140E06">
            <w:pPr>
              <w:spacing w:after="0"/>
              <w:ind w:left="483" w:hanging="425"/>
              <w:rPr>
                <w:rStyle w:val="Firstpagetablebold"/>
                <w:b w:val="0"/>
                <w:color w:val="000000" w:themeColor="text1"/>
              </w:rPr>
            </w:pPr>
          </w:p>
          <w:p w:rsidR="0021127E" w:rsidRPr="00140E06" w:rsidRDefault="0021127E" w:rsidP="00140E06">
            <w:pPr>
              <w:pStyle w:val="ListParagraph"/>
              <w:numPr>
                <w:ilvl w:val="0"/>
                <w:numId w:val="27"/>
              </w:numPr>
              <w:tabs>
                <w:tab w:val="clear" w:pos="426"/>
              </w:tabs>
              <w:spacing w:after="0"/>
              <w:ind w:left="483" w:hanging="425"/>
              <w:rPr>
                <w:rStyle w:val="Firstpagetablebold"/>
                <w:b w:val="0"/>
                <w:color w:val="auto"/>
              </w:rPr>
            </w:pPr>
            <w:r w:rsidRPr="005E7070">
              <w:rPr>
                <w:rStyle w:val="Firstpagetablebold"/>
                <w:color w:val="000000" w:themeColor="text1"/>
              </w:rPr>
              <w:t xml:space="preserve">Agree </w:t>
            </w:r>
            <w:r w:rsidRPr="00140E06">
              <w:rPr>
                <w:rStyle w:val="Firstpagetablebold"/>
                <w:b w:val="0"/>
                <w:color w:val="000000" w:themeColor="text1"/>
              </w:rPr>
              <w:t xml:space="preserve">the transfer from the COVID emergency reserve </w:t>
            </w:r>
            <w:r w:rsidRPr="00140E06">
              <w:rPr>
                <w:rStyle w:val="Firstpagetablebold"/>
                <w:b w:val="0"/>
                <w:color w:val="auto"/>
              </w:rPr>
              <w:t xml:space="preserve">of £2.043 million detailed in paragraph 2a; </w:t>
            </w:r>
          </w:p>
          <w:p w:rsidR="0021127E" w:rsidRPr="008D131E" w:rsidRDefault="0021127E" w:rsidP="00140E06">
            <w:pPr>
              <w:spacing w:after="0"/>
              <w:ind w:left="483" w:hanging="425"/>
              <w:rPr>
                <w:rStyle w:val="Firstpagetablebold"/>
                <w:b w:val="0"/>
                <w:color w:val="auto"/>
              </w:rPr>
            </w:pPr>
          </w:p>
          <w:p w:rsidR="0021127E" w:rsidRPr="00140E06" w:rsidRDefault="0021127E" w:rsidP="00140E06">
            <w:pPr>
              <w:pStyle w:val="ListParagraph"/>
              <w:numPr>
                <w:ilvl w:val="0"/>
                <w:numId w:val="27"/>
              </w:numPr>
              <w:tabs>
                <w:tab w:val="clear" w:pos="426"/>
              </w:tabs>
              <w:spacing w:after="0"/>
              <w:ind w:left="483" w:hanging="425"/>
              <w:rPr>
                <w:rStyle w:val="Firstpagetablebold"/>
                <w:b w:val="0"/>
                <w:color w:val="auto"/>
              </w:rPr>
            </w:pPr>
            <w:r w:rsidRPr="005E7070">
              <w:rPr>
                <w:rStyle w:val="Firstpagetablebold"/>
                <w:color w:val="auto"/>
              </w:rPr>
              <w:t xml:space="preserve">Agree </w:t>
            </w:r>
            <w:r w:rsidRPr="00140E06">
              <w:rPr>
                <w:rStyle w:val="Firstpagetablebold"/>
                <w:b w:val="0"/>
                <w:color w:val="auto"/>
              </w:rPr>
              <w:t xml:space="preserve">the carry forward requests in respect of the HRA of £1.881 million as shown in appendix D; </w:t>
            </w:r>
          </w:p>
          <w:p w:rsidR="0021127E" w:rsidRPr="00140E06" w:rsidRDefault="0021127E" w:rsidP="00140E06">
            <w:pPr>
              <w:spacing w:after="0"/>
              <w:ind w:left="483" w:hanging="425"/>
              <w:rPr>
                <w:rStyle w:val="Firstpagetablebold"/>
                <w:b w:val="0"/>
                <w:color w:val="auto"/>
              </w:rPr>
            </w:pPr>
          </w:p>
          <w:p w:rsidR="0021127E" w:rsidRPr="00140E06" w:rsidRDefault="0021127E" w:rsidP="00140E06">
            <w:pPr>
              <w:pStyle w:val="ListParagraph"/>
              <w:numPr>
                <w:ilvl w:val="0"/>
                <w:numId w:val="27"/>
              </w:numPr>
              <w:tabs>
                <w:tab w:val="clear" w:pos="426"/>
              </w:tabs>
              <w:spacing w:after="0"/>
              <w:ind w:left="483" w:hanging="425"/>
              <w:rPr>
                <w:rStyle w:val="Firstpagetablebold"/>
                <w:b w:val="0"/>
                <w:color w:val="auto"/>
              </w:rPr>
            </w:pPr>
            <w:r w:rsidRPr="005E7070">
              <w:rPr>
                <w:rStyle w:val="Firstpagetablebold"/>
                <w:color w:val="auto"/>
              </w:rPr>
              <w:t>Agree</w:t>
            </w:r>
            <w:r w:rsidRPr="00140E06">
              <w:rPr>
                <w:rStyle w:val="Firstpagetablebold"/>
                <w:b w:val="0"/>
                <w:color w:val="auto"/>
              </w:rPr>
              <w:t xml:space="preserve"> the transfer to the HRA Contributions to HRA Reserves to fund future years capital works of £6.476 million detailed in paragraph 2c</w:t>
            </w:r>
            <w:r w:rsidR="005E7070">
              <w:rPr>
                <w:rStyle w:val="Firstpagetablebold"/>
                <w:b w:val="0"/>
                <w:color w:val="auto"/>
              </w:rPr>
              <w:t xml:space="preserve">; and </w:t>
            </w:r>
          </w:p>
          <w:p w:rsidR="0021127E" w:rsidRPr="00B1310E" w:rsidRDefault="0021127E" w:rsidP="00660B15">
            <w:pPr>
              <w:spacing w:after="0"/>
              <w:ind w:hanging="1071"/>
              <w:rPr>
                <w:color w:val="FF0000"/>
              </w:rPr>
            </w:pPr>
            <w:r w:rsidRPr="00B1310E">
              <w:rPr>
                <w:rStyle w:val="Firstpagetablebold"/>
                <w:b w:val="0"/>
                <w:color w:val="FF0000"/>
              </w:rPr>
              <w:t>6</w:t>
            </w:r>
          </w:p>
        </w:tc>
      </w:tr>
      <w:tr w:rsidR="0021127E" w:rsidRPr="00B1310E" w:rsidTr="0021127E">
        <w:trPr>
          <w:trHeight w:val="80"/>
        </w:trPr>
        <w:tc>
          <w:tcPr>
            <w:tcW w:w="8813" w:type="dxa"/>
            <w:gridSpan w:val="2"/>
            <w:tcBorders>
              <w:top w:val="nil"/>
              <w:left w:val="single" w:sz="8" w:space="0" w:color="000000"/>
              <w:bottom w:val="single" w:sz="4" w:space="0" w:color="auto"/>
              <w:right w:val="single" w:sz="8" w:space="0" w:color="000000"/>
            </w:tcBorders>
          </w:tcPr>
          <w:p w:rsidR="00140E06" w:rsidRDefault="0021127E" w:rsidP="0018147F">
            <w:pPr>
              <w:spacing w:after="0"/>
              <w:rPr>
                <w:b/>
                <w:color w:val="auto"/>
              </w:rPr>
            </w:pPr>
            <w:r w:rsidRPr="00FA0742">
              <w:rPr>
                <w:b/>
                <w:color w:val="auto"/>
              </w:rPr>
              <w:t>Recommend to Council</w:t>
            </w:r>
          </w:p>
          <w:p w:rsidR="0021127E" w:rsidRPr="00140E06" w:rsidRDefault="00140E06" w:rsidP="003853B7">
            <w:pPr>
              <w:pStyle w:val="ListParagraph"/>
              <w:numPr>
                <w:ilvl w:val="0"/>
                <w:numId w:val="27"/>
              </w:numPr>
              <w:tabs>
                <w:tab w:val="clear" w:pos="426"/>
              </w:tabs>
              <w:spacing w:after="0"/>
              <w:ind w:left="483" w:hanging="425"/>
              <w:rPr>
                <w:color w:val="auto"/>
              </w:rPr>
            </w:pPr>
            <w:r>
              <w:rPr>
                <w:color w:val="auto"/>
              </w:rPr>
              <w:t>T</w:t>
            </w:r>
            <w:r w:rsidR="0021127E" w:rsidRPr="00140E06">
              <w:rPr>
                <w:color w:val="auto"/>
              </w:rPr>
              <w:t xml:space="preserve">hat it approves a revision to the general fund capital budget in 2021/22 of £4,984,000, for the grant payment in relation to Oxfordshire Housing and Growth Deal (OGD) schemes. In addition to give a further approval for a capital budget for 2025/26 of £33,000 to fund the remaining grant balance payable for the schemes all of which will be funded by capital grant income from </w:t>
            </w:r>
            <w:r w:rsidR="0021127E" w:rsidRPr="008879D3">
              <w:t>Oxf</w:t>
            </w:r>
            <w:r w:rsidR="0021127E" w:rsidRPr="00140E06">
              <w:rPr>
                <w:color w:val="auto"/>
              </w:rPr>
              <w:t>ordshire Housing and Growth Deal (OGD) detailed in paragraph 2</w:t>
            </w:r>
            <w:r w:rsidR="00727723">
              <w:rPr>
                <w:color w:val="auto"/>
              </w:rPr>
              <w:t>6</w:t>
            </w:r>
            <w:r w:rsidR="0021127E" w:rsidRPr="00140E06">
              <w:rPr>
                <w:color w:val="auto"/>
              </w:rPr>
              <w:t xml:space="preserve"> and in doing so</w:t>
            </w:r>
            <w:r w:rsidR="005E7070">
              <w:rPr>
                <w:color w:val="auto"/>
              </w:rPr>
              <w:t>:</w:t>
            </w:r>
          </w:p>
          <w:p w:rsidR="0021127E" w:rsidRDefault="0021127E" w:rsidP="003853B7">
            <w:pPr>
              <w:spacing w:after="0"/>
              <w:ind w:left="483" w:hanging="425"/>
              <w:rPr>
                <w:color w:val="auto"/>
              </w:rPr>
            </w:pPr>
          </w:p>
          <w:p w:rsidR="0021127E" w:rsidRPr="00712664" w:rsidRDefault="0021127E" w:rsidP="003853B7">
            <w:pPr>
              <w:pStyle w:val="ListParagraph"/>
              <w:numPr>
                <w:ilvl w:val="0"/>
                <w:numId w:val="32"/>
              </w:numPr>
              <w:tabs>
                <w:tab w:val="clear" w:pos="426"/>
              </w:tabs>
              <w:spacing w:after="0"/>
              <w:ind w:left="908" w:hanging="425"/>
            </w:pPr>
            <w:r w:rsidRPr="00712664">
              <w:lastRenderedPageBreak/>
              <w:t>Give project approval to accept and distribute grant; enter into funding agreements; and any other necessary agreements or contracts, for the purpose of delivering more affordable housing in Oxford, through the Oxfordshire Ho</w:t>
            </w:r>
            <w:r w:rsidR="005E7070">
              <w:t>using and Growth Deal programme;</w:t>
            </w:r>
          </w:p>
          <w:p w:rsidR="0021127E" w:rsidRPr="00712664" w:rsidRDefault="0021127E" w:rsidP="003853B7">
            <w:pPr>
              <w:pStyle w:val="ListParagraph"/>
              <w:numPr>
                <w:ilvl w:val="0"/>
                <w:numId w:val="0"/>
              </w:numPr>
              <w:tabs>
                <w:tab w:val="clear" w:pos="426"/>
              </w:tabs>
              <w:spacing w:after="0"/>
              <w:ind w:left="908" w:hanging="425"/>
              <w:rPr>
                <w:color w:val="auto"/>
                <w:sz w:val="20"/>
                <w:szCs w:val="20"/>
              </w:rPr>
            </w:pPr>
          </w:p>
          <w:p w:rsidR="0021127E" w:rsidRDefault="0021127E" w:rsidP="003853B7">
            <w:pPr>
              <w:pStyle w:val="ListParagraph"/>
              <w:numPr>
                <w:ilvl w:val="0"/>
                <w:numId w:val="32"/>
              </w:numPr>
              <w:tabs>
                <w:tab w:val="clear" w:pos="426"/>
              </w:tabs>
              <w:spacing w:after="0"/>
              <w:ind w:left="908" w:hanging="425"/>
            </w:pPr>
            <w:r w:rsidRPr="00712664">
              <w:t>Delegate authority to the Director of Housing, in consultation with the Cabinet Member for Planning and Housing Delivery; the Head of Financial Services/Section 151 Officer; and the Council’s Monitoring Officer, to enter into funding and other necessary agreements for the purpose of delivery affordable housing through the Oxfordshire Housing and Growth Deal programm</w:t>
            </w:r>
            <w:r w:rsidR="005E7070">
              <w:t>e, within the identified budget; and</w:t>
            </w:r>
          </w:p>
          <w:p w:rsidR="0021127E" w:rsidRDefault="0021127E" w:rsidP="003853B7">
            <w:pPr>
              <w:pStyle w:val="ListParagraph"/>
              <w:numPr>
                <w:ilvl w:val="0"/>
                <w:numId w:val="0"/>
              </w:numPr>
              <w:tabs>
                <w:tab w:val="clear" w:pos="426"/>
              </w:tabs>
              <w:ind w:left="908" w:hanging="425"/>
            </w:pPr>
          </w:p>
          <w:p w:rsidR="0021127E" w:rsidRDefault="0021127E" w:rsidP="003853B7">
            <w:pPr>
              <w:pStyle w:val="ListParagraph"/>
              <w:numPr>
                <w:ilvl w:val="0"/>
                <w:numId w:val="32"/>
              </w:numPr>
              <w:tabs>
                <w:tab w:val="clear" w:pos="426"/>
              </w:tabs>
              <w:spacing w:after="0"/>
              <w:ind w:left="908" w:hanging="425"/>
            </w:pPr>
            <w:r>
              <w:t xml:space="preserve">Delegate authority to the </w:t>
            </w:r>
            <w:r w:rsidRPr="00712664">
              <w:t>Chief Executive, in consultation with the Cabinet Members for Finance and Asset Management, and Planning and Housing Delivery, to approve any agreements over £500,000 for affordable housing, within this project approval and budget envelope.</w:t>
            </w:r>
          </w:p>
          <w:p w:rsidR="0021127E" w:rsidRDefault="0021127E" w:rsidP="003853B7">
            <w:pPr>
              <w:pStyle w:val="ListParagraph"/>
              <w:numPr>
                <w:ilvl w:val="0"/>
                <w:numId w:val="0"/>
              </w:numPr>
              <w:tabs>
                <w:tab w:val="clear" w:pos="426"/>
              </w:tabs>
              <w:ind w:left="483" w:hanging="425"/>
            </w:pPr>
          </w:p>
          <w:p w:rsidR="0021127E" w:rsidRPr="00B1310E" w:rsidRDefault="0021127E" w:rsidP="0062626A">
            <w:pPr>
              <w:pStyle w:val="ListParagraph"/>
              <w:numPr>
                <w:ilvl w:val="0"/>
                <w:numId w:val="0"/>
              </w:numPr>
              <w:tabs>
                <w:tab w:val="clear" w:pos="426"/>
              </w:tabs>
              <w:spacing w:after="0"/>
              <w:ind w:left="483"/>
              <w:rPr>
                <w:color w:val="FF0000"/>
              </w:rPr>
            </w:pPr>
          </w:p>
        </w:tc>
      </w:tr>
    </w:tbl>
    <w:p w:rsidR="00CE544A" w:rsidRPr="00B1310E" w:rsidRDefault="00CE544A" w:rsidP="004A6D2F">
      <w:pPr>
        <w:rPr>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766"/>
      </w:tblGrid>
      <w:tr w:rsidR="00B1310E" w:rsidRPr="00B1310E" w:rsidTr="0021127E">
        <w:tc>
          <w:tcPr>
            <w:tcW w:w="9170" w:type="dxa"/>
            <w:gridSpan w:val="2"/>
            <w:tcBorders>
              <w:top w:val="single" w:sz="8" w:space="0" w:color="000000"/>
              <w:left w:val="single" w:sz="8" w:space="0" w:color="000000"/>
              <w:bottom w:val="single" w:sz="8" w:space="0" w:color="000000"/>
              <w:right w:val="single" w:sz="8" w:space="0" w:color="000000"/>
            </w:tcBorders>
            <w:shd w:val="clear" w:color="auto" w:fill="auto"/>
          </w:tcPr>
          <w:p w:rsidR="00966D42" w:rsidRPr="00E3210A" w:rsidRDefault="00966D42" w:rsidP="00263EA3">
            <w:pPr>
              <w:jc w:val="center"/>
              <w:rPr>
                <w:color w:val="auto"/>
              </w:rPr>
            </w:pPr>
            <w:r w:rsidRPr="00E3210A">
              <w:rPr>
                <w:rStyle w:val="Firstpagetablebold"/>
                <w:color w:val="auto"/>
              </w:rPr>
              <w:t>Appendices</w:t>
            </w:r>
          </w:p>
        </w:tc>
      </w:tr>
      <w:tr w:rsidR="0074109C" w:rsidRPr="00B1310E" w:rsidTr="0021127E">
        <w:tc>
          <w:tcPr>
            <w:tcW w:w="2404" w:type="dxa"/>
            <w:tcBorders>
              <w:top w:val="nil"/>
              <w:left w:val="single" w:sz="8" w:space="0" w:color="000000"/>
              <w:bottom w:val="single" w:sz="8" w:space="0" w:color="000000"/>
              <w:right w:val="nil"/>
            </w:tcBorders>
            <w:shd w:val="clear" w:color="auto" w:fill="auto"/>
          </w:tcPr>
          <w:p w:rsidR="00FB70AC" w:rsidRPr="00E3210A" w:rsidRDefault="00964187" w:rsidP="004A6D2F">
            <w:pPr>
              <w:rPr>
                <w:color w:val="auto"/>
              </w:rPr>
            </w:pPr>
            <w:r w:rsidRPr="00E3210A">
              <w:rPr>
                <w:color w:val="auto"/>
              </w:rPr>
              <w:t xml:space="preserve">Appendix </w:t>
            </w:r>
            <w:r w:rsidR="003F50F9" w:rsidRPr="00E3210A">
              <w:rPr>
                <w:color w:val="auto"/>
              </w:rPr>
              <w:t>A</w:t>
            </w:r>
          </w:p>
          <w:p w:rsidR="00FB70AC" w:rsidRPr="00E3210A" w:rsidRDefault="00FD4134" w:rsidP="004A6D2F">
            <w:pPr>
              <w:rPr>
                <w:color w:val="auto"/>
              </w:rPr>
            </w:pPr>
            <w:r w:rsidRPr="00E3210A">
              <w:rPr>
                <w:color w:val="auto"/>
              </w:rPr>
              <w:t>Appendix B</w:t>
            </w:r>
          </w:p>
          <w:p w:rsidR="00FB70AC" w:rsidRPr="00E3210A" w:rsidRDefault="00FB70AC" w:rsidP="004B5708">
            <w:pPr>
              <w:rPr>
                <w:color w:val="auto"/>
              </w:rPr>
            </w:pPr>
            <w:r w:rsidRPr="00E3210A">
              <w:rPr>
                <w:color w:val="auto"/>
              </w:rPr>
              <w:t xml:space="preserve">Appendix </w:t>
            </w:r>
            <w:r w:rsidR="00FD4134" w:rsidRPr="00E3210A">
              <w:rPr>
                <w:color w:val="auto"/>
              </w:rPr>
              <w:t>C</w:t>
            </w:r>
          </w:p>
          <w:p w:rsidR="007333C3" w:rsidRPr="00E3210A" w:rsidRDefault="00FD4134" w:rsidP="00E3210A">
            <w:pPr>
              <w:rPr>
                <w:color w:val="auto"/>
              </w:rPr>
            </w:pPr>
            <w:r w:rsidRPr="00E3210A">
              <w:rPr>
                <w:color w:val="auto"/>
              </w:rPr>
              <w:t>Appendix D</w:t>
            </w:r>
          </w:p>
        </w:tc>
        <w:tc>
          <w:tcPr>
            <w:tcW w:w="6766" w:type="dxa"/>
            <w:tcBorders>
              <w:top w:val="nil"/>
              <w:left w:val="nil"/>
              <w:bottom w:val="single" w:sz="8" w:space="0" w:color="000000"/>
              <w:right w:val="single" w:sz="8" w:space="0" w:color="000000"/>
            </w:tcBorders>
          </w:tcPr>
          <w:p w:rsidR="00A91B9B" w:rsidRPr="00E3210A" w:rsidRDefault="00965E39" w:rsidP="00A91B9B">
            <w:pPr>
              <w:rPr>
                <w:color w:val="auto"/>
              </w:rPr>
            </w:pPr>
            <w:r w:rsidRPr="00E3210A">
              <w:rPr>
                <w:color w:val="auto"/>
              </w:rPr>
              <w:t>General Fund Outturn</w:t>
            </w:r>
          </w:p>
          <w:p w:rsidR="00A91B9B" w:rsidRPr="00E3210A" w:rsidRDefault="00965E39" w:rsidP="00A91B9B">
            <w:pPr>
              <w:rPr>
                <w:color w:val="auto"/>
              </w:rPr>
            </w:pPr>
            <w:r w:rsidRPr="00E3210A">
              <w:rPr>
                <w:color w:val="auto"/>
              </w:rPr>
              <w:t>Capital Programme</w:t>
            </w:r>
            <w:r w:rsidR="00A91B9B" w:rsidRPr="00E3210A">
              <w:rPr>
                <w:color w:val="auto"/>
              </w:rPr>
              <w:t xml:space="preserve"> Outturn</w:t>
            </w:r>
          </w:p>
          <w:p w:rsidR="00A91B9B" w:rsidRPr="00E3210A" w:rsidRDefault="00965E39" w:rsidP="00A91B9B">
            <w:pPr>
              <w:rPr>
                <w:color w:val="auto"/>
              </w:rPr>
            </w:pPr>
            <w:r w:rsidRPr="00E3210A">
              <w:rPr>
                <w:color w:val="auto"/>
              </w:rPr>
              <w:t>HRA</w:t>
            </w:r>
            <w:r w:rsidR="00A91B9B" w:rsidRPr="00E3210A">
              <w:rPr>
                <w:color w:val="auto"/>
              </w:rPr>
              <w:t xml:space="preserve"> Outturn</w:t>
            </w:r>
          </w:p>
          <w:p w:rsidR="00953A87" w:rsidRPr="00E3210A" w:rsidRDefault="00965E39" w:rsidP="008159AF">
            <w:pPr>
              <w:tabs>
                <w:tab w:val="left" w:pos="2160"/>
              </w:tabs>
              <w:rPr>
                <w:color w:val="auto"/>
              </w:rPr>
            </w:pPr>
            <w:r w:rsidRPr="00E3210A">
              <w:rPr>
                <w:color w:val="auto"/>
              </w:rPr>
              <w:t xml:space="preserve">Carry Forward </w:t>
            </w:r>
            <w:r w:rsidR="00953A87" w:rsidRPr="00E3210A">
              <w:rPr>
                <w:color w:val="auto"/>
              </w:rPr>
              <w:t xml:space="preserve">Requests </w:t>
            </w:r>
            <w:r w:rsidR="0062626A">
              <w:rPr>
                <w:color w:val="auto"/>
              </w:rPr>
              <w:t>(Housing Revenue Account)</w:t>
            </w:r>
          </w:p>
        </w:tc>
      </w:tr>
    </w:tbl>
    <w:p w:rsidR="00BD3A56" w:rsidRDefault="00BD3A56" w:rsidP="004A6D2F">
      <w:pPr>
        <w:pStyle w:val="Heading1"/>
        <w:rPr>
          <w:color w:val="FF0000"/>
        </w:rPr>
      </w:pPr>
    </w:p>
    <w:p w:rsidR="00684EE2" w:rsidRDefault="00684EE2" w:rsidP="00684EE2"/>
    <w:p w:rsidR="00684EE2" w:rsidRDefault="00684EE2" w:rsidP="00684EE2"/>
    <w:p w:rsidR="0021127E" w:rsidRDefault="0021127E">
      <w:pPr>
        <w:spacing w:after="0"/>
      </w:pPr>
      <w:r>
        <w:br w:type="page"/>
      </w:r>
    </w:p>
    <w:p w:rsidR="0062626A" w:rsidRDefault="0062626A" w:rsidP="0062626A">
      <w:pPr>
        <w:pStyle w:val="Heading1"/>
        <w:ind w:left="360" w:hanging="360"/>
        <w:rPr>
          <w:color w:val="auto"/>
        </w:rPr>
      </w:pPr>
      <w:r>
        <w:rPr>
          <w:color w:val="auto"/>
        </w:rPr>
        <w:lastRenderedPageBreak/>
        <w:t>I</w:t>
      </w:r>
      <w:r w:rsidR="00F66DCA" w:rsidRPr="00CF57EB">
        <w:rPr>
          <w:color w:val="auto"/>
        </w:rPr>
        <w:t>ntroduction and b</w:t>
      </w:r>
      <w:r w:rsidR="00151888" w:rsidRPr="00CF57EB">
        <w:rPr>
          <w:color w:val="auto"/>
        </w:rPr>
        <w:t>ackground</w:t>
      </w:r>
      <w:r w:rsidR="00404032" w:rsidRPr="00CF57EB">
        <w:rPr>
          <w:color w:val="auto"/>
        </w:rPr>
        <w:t xml:space="preserve"> </w:t>
      </w:r>
    </w:p>
    <w:p w:rsidR="00FB70AC" w:rsidRPr="0062626A" w:rsidRDefault="0062626A" w:rsidP="0062626A">
      <w:pPr>
        <w:pStyle w:val="Heading1"/>
        <w:ind w:left="360" w:hanging="360"/>
        <w:rPr>
          <w:color w:val="auto"/>
        </w:rPr>
      </w:pPr>
      <w:r>
        <w:rPr>
          <w:color w:val="auto"/>
        </w:rPr>
        <w:t>1</w:t>
      </w:r>
      <w:r>
        <w:rPr>
          <w:color w:val="auto"/>
        </w:rPr>
        <w:tab/>
      </w:r>
      <w:r>
        <w:rPr>
          <w:color w:val="auto"/>
        </w:rPr>
        <w:tab/>
      </w:r>
      <w:r w:rsidR="00FB70AC" w:rsidRPr="0062626A">
        <w:rPr>
          <w:b w:val="0"/>
        </w:rPr>
        <w:t xml:space="preserve">This report </w:t>
      </w:r>
      <w:r w:rsidR="007333C3" w:rsidRPr="0062626A">
        <w:rPr>
          <w:b w:val="0"/>
        </w:rPr>
        <w:t xml:space="preserve">updates the </w:t>
      </w:r>
      <w:r w:rsidR="004A631A" w:rsidRPr="0062626A">
        <w:rPr>
          <w:b w:val="0"/>
        </w:rPr>
        <w:t>Cabinet</w:t>
      </w:r>
      <w:r w:rsidR="007333C3" w:rsidRPr="0062626A">
        <w:rPr>
          <w:b w:val="0"/>
        </w:rPr>
        <w:t xml:space="preserve"> on </w:t>
      </w:r>
      <w:r w:rsidR="00B732B4" w:rsidRPr="0062626A">
        <w:rPr>
          <w:b w:val="0"/>
        </w:rPr>
        <w:t xml:space="preserve">the </w:t>
      </w:r>
      <w:r w:rsidR="00E3210A" w:rsidRPr="0062626A">
        <w:rPr>
          <w:b w:val="0"/>
        </w:rPr>
        <w:t xml:space="preserve">financial </w:t>
      </w:r>
      <w:r w:rsidR="00953A87" w:rsidRPr="0062626A">
        <w:rPr>
          <w:b w:val="0"/>
        </w:rPr>
        <w:t>per</w:t>
      </w:r>
      <w:r w:rsidR="00E3210A" w:rsidRPr="0062626A">
        <w:rPr>
          <w:b w:val="0"/>
        </w:rPr>
        <w:t xml:space="preserve">formance of the </w:t>
      </w:r>
      <w:r w:rsidRPr="0062626A">
        <w:rPr>
          <w:b w:val="0"/>
        </w:rPr>
        <w:tab/>
      </w:r>
      <w:r w:rsidR="00E3210A" w:rsidRPr="0062626A">
        <w:rPr>
          <w:b w:val="0"/>
        </w:rPr>
        <w:t xml:space="preserve">Council for </w:t>
      </w:r>
      <w:r>
        <w:rPr>
          <w:b w:val="0"/>
        </w:rPr>
        <w:tab/>
      </w:r>
      <w:r w:rsidR="00E3210A" w:rsidRPr="0062626A">
        <w:rPr>
          <w:b w:val="0"/>
        </w:rPr>
        <w:t>2020/21</w:t>
      </w:r>
      <w:r w:rsidR="00DE1458" w:rsidRPr="0062626A">
        <w:rPr>
          <w:b w:val="0"/>
        </w:rPr>
        <w:t>.</w:t>
      </w:r>
      <w:r w:rsidR="00DE1458" w:rsidRPr="00CF57EB">
        <w:t xml:space="preserve"> </w:t>
      </w:r>
    </w:p>
    <w:p w:rsidR="00FB70AC" w:rsidRPr="008D131E" w:rsidRDefault="002A15EC" w:rsidP="00684EE2">
      <w:pPr>
        <w:pStyle w:val="ListParagraph"/>
        <w:tabs>
          <w:tab w:val="clear" w:pos="426"/>
          <w:tab w:val="left" w:pos="567"/>
        </w:tabs>
        <w:ind w:left="567" w:hanging="567"/>
        <w:rPr>
          <w:color w:val="auto"/>
        </w:rPr>
      </w:pPr>
      <w:r w:rsidRPr="008D131E">
        <w:rPr>
          <w:b/>
          <w:color w:val="auto"/>
        </w:rPr>
        <w:t>Financial</w:t>
      </w:r>
      <w:r w:rsidRPr="008E28E4">
        <w:rPr>
          <w:b/>
          <w:color w:val="auto"/>
        </w:rPr>
        <w:t xml:space="preserve"> </w:t>
      </w:r>
      <w:r w:rsidR="00CC3ED0" w:rsidRPr="008E28E4">
        <w:rPr>
          <w:b/>
          <w:color w:val="auto"/>
        </w:rPr>
        <w:t>Overview</w:t>
      </w:r>
      <w:r w:rsidR="00CC3ED0" w:rsidRPr="008D131E">
        <w:rPr>
          <w:color w:val="auto"/>
        </w:rPr>
        <w:t xml:space="preserve"> </w:t>
      </w:r>
    </w:p>
    <w:p w:rsidR="00E44A0A" w:rsidRPr="008D131E" w:rsidRDefault="00C2674F" w:rsidP="00712664">
      <w:pPr>
        <w:pStyle w:val="ListParagraph"/>
        <w:numPr>
          <w:ilvl w:val="1"/>
          <w:numId w:val="2"/>
        </w:numPr>
        <w:tabs>
          <w:tab w:val="clear" w:pos="426"/>
          <w:tab w:val="left" w:pos="1134"/>
        </w:tabs>
        <w:ind w:left="1134" w:hanging="567"/>
        <w:rPr>
          <w:color w:val="auto"/>
        </w:rPr>
      </w:pPr>
      <w:r w:rsidRPr="008D131E">
        <w:rPr>
          <w:rFonts w:cs="Arial"/>
          <w:b/>
          <w:color w:val="auto"/>
        </w:rPr>
        <w:t>General Fund</w:t>
      </w:r>
      <w:r w:rsidRPr="008D131E">
        <w:rPr>
          <w:rFonts w:cs="Arial"/>
          <w:color w:val="auto"/>
        </w:rPr>
        <w:t xml:space="preserve"> –</w:t>
      </w:r>
      <w:r w:rsidR="00C72FE8" w:rsidRPr="008D131E">
        <w:rPr>
          <w:rFonts w:cs="Arial"/>
          <w:color w:val="auto"/>
        </w:rPr>
        <w:t xml:space="preserve"> </w:t>
      </w:r>
      <w:r w:rsidR="00E16948">
        <w:rPr>
          <w:rFonts w:cs="Arial"/>
          <w:color w:val="auto"/>
        </w:rPr>
        <w:t xml:space="preserve">We should note that this outturn is the product of an exceptionally challenging year.  The Council has benefited from government grant, but nonetheless faces a major deficit, which is projected to worsen in future years as consequences of the pandemic continue.  This is regrettable given the undertakings the government gave at the start of the pandemic.  </w:t>
      </w:r>
      <w:r w:rsidR="00C72FE8" w:rsidRPr="008D131E">
        <w:rPr>
          <w:rFonts w:cs="Arial"/>
          <w:color w:val="auto"/>
        </w:rPr>
        <w:t xml:space="preserve">The </w:t>
      </w:r>
      <w:r w:rsidR="008D131E" w:rsidRPr="008D131E">
        <w:rPr>
          <w:rFonts w:cs="Arial"/>
          <w:color w:val="auto"/>
        </w:rPr>
        <w:t xml:space="preserve">deficit on the General Fund is £2.043 </w:t>
      </w:r>
      <w:r w:rsidR="00C72FE8" w:rsidRPr="008D131E">
        <w:rPr>
          <w:rFonts w:cs="Arial"/>
          <w:color w:val="auto"/>
        </w:rPr>
        <w:t>million</w:t>
      </w:r>
      <w:r w:rsidR="00F71ABE" w:rsidRPr="008D131E">
        <w:rPr>
          <w:rFonts w:cs="Arial"/>
          <w:color w:val="auto"/>
        </w:rPr>
        <w:t xml:space="preserve"> (</w:t>
      </w:r>
      <w:r w:rsidR="008D131E" w:rsidRPr="008D131E">
        <w:rPr>
          <w:rFonts w:cs="Arial"/>
          <w:color w:val="auto"/>
        </w:rPr>
        <w:t>8.67</w:t>
      </w:r>
      <w:r w:rsidR="00557303" w:rsidRPr="008D131E">
        <w:rPr>
          <w:rFonts w:cs="Arial"/>
          <w:color w:val="auto"/>
        </w:rPr>
        <w:t>% of the Net Budget Requirement of £</w:t>
      </w:r>
      <w:r w:rsidR="00F71ABE" w:rsidRPr="008D131E">
        <w:rPr>
          <w:rFonts w:cs="Arial"/>
          <w:color w:val="auto"/>
        </w:rPr>
        <w:t>23.</w:t>
      </w:r>
      <w:r w:rsidR="008D131E" w:rsidRPr="008D131E">
        <w:rPr>
          <w:rFonts w:cs="Arial"/>
          <w:color w:val="auto"/>
        </w:rPr>
        <w:t>573</w:t>
      </w:r>
      <w:r w:rsidR="00F71ABE" w:rsidRPr="008D131E">
        <w:rPr>
          <w:rFonts w:cs="Arial"/>
          <w:color w:val="auto"/>
        </w:rPr>
        <w:t xml:space="preserve"> </w:t>
      </w:r>
      <w:r w:rsidR="00557303" w:rsidRPr="008D131E">
        <w:rPr>
          <w:rFonts w:cs="Arial"/>
          <w:color w:val="auto"/>
        </w:rPr>
        <w:t>million</w:t>
      </w:r>
      <w:r w:rsidR="00F71ABE" w:rsidRPr="008D131E">
        <w:rPr>
          <w:rFonts w:cs="Arial"/>
          <w:color w:val="auto"/>
        </w:rPr>
        <w:t xml:space="preserve"> and </w:t>
      </w:r>
      <w:r w:rsidR="008D131E" w:rsidRPr="008D131E">
        <w:rPr>
          <w:rFonts w:cs="Arial"/>
          <w:color w:val="auto"/>
        </w:rPr>
        <w:t>6.06</w:t>
      </w:r>
      <w:r w:rsidR="006E7937" w:rsidRPr="008D131E">
        <w:rPr>
          <w:rFonts w:cs="Arial"/>
          <w:color w:val="auto"/>
        </w:rPr>
        <w:t xml:space="preserve">% of the gross </w:t>
      </w:r>
      <w:r w:rsidR="00F71ABE" w:rsidRPr="008D131E">
        <w:rPr>
          <w:rFonts w:cs="Arial"/>
          <w:color w:val="auto"/>
        </w:rPr>
        <w:t>service expenditure budget of £33.</w:t>
      </w:r>
      <w:r w:rsidR="008D131E" w:rsidRPr="008D131E">
        <w:rPr>
          <w:rFonts w:cs="Arial"/>
          <w:color w:val="auto"/>
        </w:rPr>
        <w:t>688</w:t>
      </w:r>
      <w:r w:rsidR="006E7937" w:rsidRPr="008D131E">
        <w:rPr>
          <w:rFonts w:cs="Arial"/>
          <w:color w:val="auto"/>
        </w:rPr>
        <w:t xml:space="preserve"> million</w:t>
      </w:r>
      <w:r w:rsidR="00557303" w:rsidRPr="008D131E">
        <w:rPr>
          <w:rFonts w:cs="Arial"/>
          <w:color w:val="auto"/>
        </w:rPr>
        <w:t>)</w:t>
      </w:r>
      <w:r w:rsidR="006B7B01" w:rsidRPr="008D131E">
        <w:rPr>
          <w:rFonts w:cs="Arial"/>
          <w:color w:val="auto"/>
        </w:rPr>
        <w:t>.</w:t>
      </w:r>
      <w:r w:rsidR="00226CEB" w:rsidRPr="008D131E">
        <w:rPr>
          <w:rFonts w:cs="Arial"/>
          <w:color w:val="auto"/>
        </w:rPr>
        <w:t xml:space="preserve">  </w:t>
      </w:r>
      <w:r w:rsidR="008D131E" w:rsidRPr="008D131E">
        <w:rPr>
          <w:rFonts w:cs="Arial"/>
          <w:color w:val="auto"/>
        </w:rPr>
        <w:t>It is</w:t>
      </w:r>
      <w:r w:rsidR="00226CEB" w:rsidRPr="008D131E">
        <w:rPr>
          <w:rFonts w:cs="Arial"/>
          <w:color w:val="auto"/>
        </w:rPr>
        <w:t xml:space="preserve"> </w:t>
      </w:r>
      <w:r w:rsidR="009450D3" w:rsidRPr="008D131E">
        <w:rPr>
          <w:rFonts w:cs="Arial"/>
          <w:color w:val="auto"/>
        </w:rPr>
        <w:t>recommend</w:t>
      </w:r>
      <w:r w:rsidR="008D131E" w:rsidRPr="008D131E">
        <w:rPr>
          <w:rFonts w:cs="Arial"/>
          <w:color w:val="auto"/>
        </w:rPr>
        <w:t>ed, as previously reported, that the deficit is covered by the use of reserves, therefore transferring £2.043 million from the COVID emergency response reserve</w:t>
      </w:r>
      <w:r w:rsidR="009450D3" w:rsidRPr="008D131E">
        <w:rPr>
          <w:rFonts w:cs="Arial"/>
          <w:color w:val="auto"/>
        </w:rPr>
        <w:t xml:space="preserve">.  </w:t>
      </w:r>
    </w:p>
    <w:p w:rsidR="00BB796D" w:rsidRPr="008D131E" w:rsidRDefault="00953A87" w:rsidP="00712664">
      <w:pPr>
        <w:pStyle w:val="ListParagraph"/>
        <w:numPr>
          <w:ilvl w:val="1"/>
          <w:numId w:val="2"/>
        </w:numPr>
        <w:tabs>
          <w:tab w:val="clear" w:pos="426"/>
          <w:tab w:val="left" w:pos="1134"/>
        </w:tabs>
        <w:ind w:left="1134" w:hanging="567"/>
        <w:rPr>
          <w:color w:val="auto"/>
        </w:rPr>
      </w:pPr>
      <w:r w:rsidRPr="008D131E">
        <w:rPr>
          <w:rFonts w:cs="Arial"/>
          <w:b/>
          <w:color w:val="auto"/>
        </w:rPr>
        <w:t>Efficiencies</w:t>
      </w:r>
      <w:r w:rsidR="00E16948">
        <w:rPr>
          <w:rFonts w:cs="Arial"/>
          <w:b/>
          <w:color w:val="auto"/>
        </w:rPr>
        <w:t>, savings and additional income t</w:t>
      </w:r>
      <w:r w:rsidRPr="008D131E">
        <w:rPr>
          <w:rFonts w:cs="Arial"/>
          <w:b/>
          <w:color w:val="auto"/>
        </w:rPr>
        <w:t xml:space="preserve">argets </w:t>
      </w:r>
      <w:r w:rsidRPr="008D131E">
        <w:rPr>
          <w:color w:val="auto"/>
        </w:rPr>
        <w:t>– at year end the</w:t>
      </w:r>
      <w:r w:rsidR="00E16948">
        <w:rPr>
          <w:color w:val="auto"/>
        </w:rPr>
        <w:t xml:space="preserve"> council achieved the</w:t>
      </w:r>
      <w:r w:rsidRPr="008D131E">
        <w:rPr>
          <w:color w:val="auto"/>
        </w:rPr>
        <w:t xml:space="preserve"> actual</w:t>
      </w:r>
      <w:r w:rsidR="006E68D7" w:rsidRPr="008D131E">
        <w:rPr>
          <w:color w:val="auto"/>
        </w:rPr>
        <w:t xml:space="preserve"> sum</w:t>
      </w:r>
      <w:r w:rsidRPr="008D131E">
        <w:rPr>
          <w:color w:val="auto"/>
        </w:rPr>
        <w:t xml:space="preserve"> </w:t>
      </w:r>
      <w:r w:rsidR="00CC3ED0" w:rsidRPr="008D131E">
        <w:rPr>
          <w:color w:val="auto"/>
        </w:rPr>
        <w:t xml:space="preserve">of </w:t>
      </w:r>
      <w:r w:rsidR="008A339B" w:rsidRPr="008D131E">
        <w:rPr>
          <w:color w:val="auto"/>
        </w:rPr>
        <w:t>£</w:t>
      </w:r>
      <w:r w:rsidR="008D131E" w:rsidRPr="008D131E">
        <w:rPr>
          <w:color w:val="auto"/>
        </w:rPr>
        <w:t xml:space="preserve">2.020 </w:t>
      </w:r>
      <w:r w:rsidR="007B2188" w:rsidRPr="008D131E">
        <w:rPr>
          <w:color w:val="auto"/>
        </w:rPr>
        <w:t>million</w:t>
      </w:r>
      <w:r w:rsidR="00CC3ED0" w:rsidRPr="008D131E">
        <w:rPr>
          <w:color w:val="auto"/>
        </w:rPr>
        <w:t xml:space="preserve"> </w:t>
      </w:r>
      <w:r w:rsidR="00393379" w:rsidRPr="008D131E">
        <w:rPr>
          <w:color w:val="auto"/>
        </w:rPr>
        <w:t>in accordance with the budgeted amount</w:t>
      </w:r>
      <w:r w:rsidR="00F169FA" w:rsidRPr="008D131E">
        <w:rPr>
          <w:color w:val="auto"/>
        </w:rPr>
        <w:t>.</w:t>
      </w:r>
    </w:p>
    <w:p w:rsidR="001121C1" w:rsidRPr="00A0088F" w:rsidRDefault="00C2674F" w:rsidP="00712664">
      <w:pPr>
        <w:pStyle w:val="ListParagraph"/>
        <w:numPr>
          <w:ilvl w:val="1"/>
          <w:numId w:val="2"/>
        </w:numPr>
        <w:tabs>
          <w:tab w:val="clear" w:pos="426"/>
          <w:tab w:val="left" w:pos="1134"/>
        </w:tabs>
        <w:ind w:left="1134" w:hanging="567"/>
        <w:rPr>
          <w:color w:val="auto"/>
        </w:rPr>
      </w:pPr>
      <w:r w:rsidRPr="00FE5735">
        <w:rPr>
          <w:b/>
          <w:color w:val="auto"/>
        </w:rPr>
        <w:t>Housing Revenue Account</w:t>
      </w:r>
      <w:r w:rsidRPr="00FE5735">
        <w:rPr>
          <w:color w:val="auto"/>
        </w:rPr>
        <w:t xml:space="preserve"> – </w:t>
      </w:r>
      <w:r w:rsidR="00C72FE8" w:rsidRPr="00FE5735">
        <w:rPr>
          <w:color w:val="auto"/>
        </w:rPr>
        <w:t xml:space="preserve">The </w:t>
      </w:r>
      <w:r w:rsidR="00966F41" w:rsidRPr="00FE5735">
        <w:rPr>
          <w:color w:val="auto"/>
        </w:rPr>
        <w:t xml:space="preserve">year end </w:t>
      </w:r>
      <w:r w:rsidR="00C72FE8" w:rsidRPr="00FE5735">
        <w:rPr>
          <w:color w:val="auto"/>
        </w:rPr>
        <w:t xml:space="preserve">surplus on the HRA is </w:t>
      </w:r>
      <w:r w:rsidR="00966F41" w:rsidRPr="00FE5735">
        <w:rPr>
          <w:color w:val="auto"/>
        </w:rPr>
        <w:t xml:space="preserve">a </w:t>
      </w:r>
      <w:r w:rsidR="00840B2F">
        <w:rPr>
          <w:color w:val="auto"/>
        </w:rPr>
        <w:t xml:space="preserve">total </w:t>
      </w:r>
      <w:r w:rsidR="00966F41" w:rsidRPr="00FE5735">
        <w:rPr>
          <w:color w:val="auto"/>
        </w:rPr>
        <w:t xml:space="preserve">favourable </w:t>
      </w:r>
      <w:r w:rsidR="004B7BD3" w:rsidRPr="00FE5735">
        <w:rPr>
          <w:color w:val="auto"/>
        </w:rPr>
        <w:t xml:space="preserve">variance of </w:t>
      </w:r>
      <w:r w:rsidR="00C72FE8" w:rsidRPr="00FE5735">
        <w:rPr>
          <w:color w:val="auto"/>
        </w:rPr>
        <w:t>£</w:t>
      </w:r>
      <w:r w:rsidR="00840B2F">
        <w:rPr>
          <w:color w:val="auto"/>
        </w:rPr>
        <w:t>8.357</w:t>
      </w:r>
      <w:r w:rsidR="00BB090E" w:rsidRPr="00FE5735">
        <w:rPr>
          <w:color w:val="auto"/>
        </w:rPr>
        <w:t xml:space="preserve"> million</w:t>
      </w:r>
      <w:r w:rsidR="009C409F" w:rsidRPr="00FE5735">
        <w:rPr>
          <w:color w:val="auto"/>
        </w:rPr>
        <w:t xml:space="preserve">, </w:t>
      </w:r>
      <w:r w:rsidR="004B7BD3" w:rsidRPr="00FE5735">
        <w:rPr>
          <w:color w:val="auto"/>
        </w:rPr>
        <w:t xml:space="preserve">of this balance £1.881 million has been requested as </w:t>
      </w:r>
      <w:r w:rsidR="009C409F" w:rsidRPr="00FE5735">
        <w:rPr>
          <w:color w:val="auto"/>
        </w:rPr>
        <w:t>carry forward</w:t>
      </w:r>
      <w:r w:rsidR="004B7BD3" w:rsidRPr="00FE5735">
        <w:rPr>
          <w:color w:val="auto"/>
        </w:rPr>
        <w:t xml:space="preserve">s, and the remaining £6.476 </w:t>
      </w:r>
      <w:r w:rsidR="0062626A">
        <w:rPr>
          <w:color w:val="auto"/>
        </w:rPr>
        <w:t>million is</w:t>
      </w:r>
      <w:r w:rsidR="004B7BD3" w:rsidRPr="00FE5735">
        <w:rPr>
          <w:color w:val="auto"/>
        </w:rPr>
        <w:t xml:space="preserve"> recommended to be transferred to HRA Reserves to fund the future capital programme, this </w:t>
      </w:r>
      <w:r w:rsidR="004B7BD3" w:rsidRPr="00A0088F">
        <w:rPr>
          <w:color w:val="auto"/>
        </w:rPr>
        <w:t xml:space="preserve">is against the </w:t>
      </w:r>
      <w:r w:rsidR="00BB796D" w:rsidRPr="00A0088F">
        <w:rPr>
          <w:color w:val="auto"/>
        </w:rPr>
        <w:t>original budget</w:t>
      </w:r>
      <w:r w:rsidR="005E7AF6" w:rsidRPr="00A0088F">
        <w:rPr>
          <w:color w:val="auto"/>
        </w:rPr>
        <w:t xml:space="preserve">ed </w:t>
      </w:r>
      <w:r w:rsidR="00073CC5">
        <w:rPr>
          <w:color w:val="auto"/>
        </w:rPr>
        <w:t>surplus of £0.993</w:t>
      </w:r>
      <w:r w:rsidR="004B7BD3" w:rsidRPr="00A0088F">
        <w:rPr>
          <w:color w:val="auto"/>
        </w:rPr>
        <w:t xml:space="preserve"> million.</w:t>
      </w:r>
      <w:r w:rsidR="00884F2C" w:rsidRPr="00A0088F">
        <w:rPr>
          <w:color w:val="auto"/>
        </w:rPr>
        <w:t xml:space="preserve">  </w:t>
      </w:r>
    </w:p>
    <w:p w:rsidR="00A0088F" w:rsidRPr="00A0088F" w:rsidRDefault="00C2674F" w:rsidP="00712664">
      <w:pPr>
        <w:pStyle w:val="ListParagraph"/>
        <w:numPr>
          <w:ilvl w:val="1"/>
          <w:numId w:val="2"/>
        </w:numPr>
        <w:tabs>
          <w:tab w:val="clear" w:pos="426"/>
          <w:tab w:val="left" w:pos="1134"/>
        </w:tabs>
        <w:ind w:left="1134" w:hanging="567"/>
        <w:rPr>
          <w:rFonts w:cs="Arial"/>
          <w:color w:val="auto"/>
        </w:rPr>
      </w:pPr>
      <w:r w:rsidRPr="00A0088F">
        <w:rPr>
          <w:rFonts w:cs="Arial"/>
          <w:b/>
          <w:color w:val="auto"/>
        </w:rPr>
        <w:t>Capital Programme</w:t>
      </w:r>
      <w:r w:rsidRPr="00A0088F">
        <w:rPr>
          <w:rFonts w:cs="Arial"/>
          <w:color w:val="auto"/>
        </w:rPr>
        <w:t xml:space="preserve"> – the </w:t>
      </w:r>
      <w:r w:rsidR="00136EB8" w:rsidRPr="00A0088F">
        <w:rPr>
          <w:rFonts w:cs="Arial"/>
          <w:color w:val="auto"/>
        </w:rPr>
        <w:t xml:space="preserve">outturn </w:t>
      </w:r>
      <w:r w:rsidR="00D3622B" w:rsidRPr="00A0088F">
        <w:rPr>
          <w:rFonts w:cs="Arial"/>
          <w:color w:val="auto"/>
        </w:rPr>
        <w:t>spend</w:t>
      </w:r>
      <w:r w:rsidR="00E141C6" w:rsidRPr="00A0088F">
        <w:rPr>
          <w:rFonts w:cs="Arial"/>
          <w:color w:val="auto"/>
        </w:rPr>
        <w:t xml:space="preserve"> </w:t>
      </w:r>
      <w:r w:rsidR="00FE5735" w:rsidRPr="00A0088F">
        <w:rPr>
          <w:rFonts w:cs="Arial"/>
          <w:color w:val="auto"/>
        </w:rPr>
        <w:t xml:space="preserve">at year end </w:t>
      </w:r>
      <w:r w:rsidR="00E141C6" w:rsidRPr="00A0088F">
        <w:rPr>
          <w:rFonts w:cs="Arial"/>
          <w:color w:val="auto"/>
        </w:rPr>
        <w:t xml:space="preserve">is </w:t>
      </w:r>
      <w:r w:rsidR="00D3622B" w:rsidRPr="00A0088F">
        <w:rPr>
          <w:rFonts w:cs="Arial"/>
          <w:color w:val="auto"/>
        </w:rPr>
        <w:t>£</w:t>
      </w:r>
      <w:r w:rsidR="00FE5735" w:rsidRPr="00A0088F">
        <w:rPr>
          <w:rFonts w:cs="Arial"/>
          <w:color w:val="auto"/>
        </w:rPr>
        <w:t>68.780 million</w:t>
      </w:r>
      <w:r w:rsidR="00B80341" w:rsidRPr="00A0088F">
        <w:rPr>
          <w:rFonts w:cs="Arial"/>
          <w:color w:val="auto"/>
        </w:rPr>
        <w:t>,</w:t>
      </w:r>
      <w:r w:rsidR="00EF7982" w:rsidRPr="00A0088F">
        <w:rPr>
          <w:rFonts w:cs="Arial"/>
          <w:color w:val="auto"/>
        </w:rPr>
        <w:t xml:space="preserve"> a favourable variance of </w:t>
      </w:r>
      <w:r w:rsidR="005E6A9E" w:rsidRPr="00A0088F">
        <w:rPr>
          <w:rFonts w:cs="Arial"/>
          <w:color w:val="auto"/>
        </w:rPr>
        <w:t>£</w:t>
      </w:r>
      <w:r w:rsidR="00FE5735" w:rsidRPr="00A0088F">
        <w:rPr>
          <w:rFonts w:cs="Arial"/>
          <w:color w:val="auto"/>
        </w:rPr>
        <w:t>9.973</w:t>
      </w:r>
      <w:r w:rsidR="005E6A9E" w:rsidRPr="00A0088F">
        <w:rPr>
          <w:rFonts w:cs="Arial"/>
          <w:color w:val="auto"/>
        </w:rPr>
        <w:t xml:space="preserve"> million against the latest budget</w:t>
      </w:r>
      <w:r w:rsidR="00E44A0A" w:rsidRPr="00A0088F">
        <w:rPr>
          <w:rFonts w:cs="Arial"/>
          <w:color w:val="auto"/>
        </w:rPr>
        <w:t xml:space="preserve"> forecast in February 20</w:t>
      </w:r>
      <w:r w:rsidR="00FE5735" w:rsidRPr="00A0088F">
        <w:rPr>
          <w:rFonts w:cs="Arial"/>
          <w:color w:val="auto"/>
        </w:rPr>
        <w:t>21 of £78.754 million</w:t>
      </w:r>
      <w:r w:rsidR="000E6150" w:rsidRPr="00A0088F">
        <w:rPr>
          <w:rFonts w:cs="Arial"/>
          <w:color w:val="auto"/>
        </w:rPr>
        <w:t>.</w:t>
      </w:r>
      <w:r w:rsidR="005E6A9E" w:rsidRPr="00A0088F">
        <w:rPr>
          <w:rFonts w:cs="Arial"/>
          <w:color w:val="auto"/>
        </w:rPr>
        <w:t xml:space="preserve">  </w:t>
      </w:r>
      <w:r w:rsidR="008A15F8" w:rsidRPr="00A0088F">
        <w:rPr>
          <w:rFonts w:cs="Arial"/>
          <w:color w:val="auto"/>
        </w:rPr>
        <w:t>Of this £</w:t>
      </w:r>
      <w:r w:rsidR="00A0088F" w:rsidRPr="00A0088F">
        <w:rPr>
          <w:rFonts w:cs="Arial"/>
          <w:color w:val="auto"/>
        </w:rPr>
        <w:t>10.068</w:t>
      </w:r>
      <w:r w:rsidR="00EF7982" w:rsidRPr="00A0088F">
        <w:rPr>
          <w:rFonts w:cs="Arial"/>
          <w:color w:val="auto"/>
        </w:rPr>
        <w:t xml:space="preserve"> </w:t>
      </w:r>
      <w:r w:rsidR="00F26F53" w:rsidRPr="00A0088F">
        <w:rPr>
          <w:rFonts w:cs="Arial"/>
          <w:color w:val="auto"/>
        </w:rPr>
        <w:t xml:space="preserve">million </w:t>
      </w:r>
      <w:r w:rsidR="00FE5735" w:rsidRPr="00A0088F">
        <w:rPr>
          <w:rFonts w:cs="Arial"/>
          <w:color w:val="auto"/>
        </w:rPr>
        <w:t>will slip into 2021</w:t>
      </w:r>
      <w:r w:rsidR="00A0088F" w:rsidRPr="00A0088F">
        <w:rPr>
          <w:rFonts w:cs="Arial"/>
          <w:color w:val="auto"/>
        </w:rPr>
        <w:t>/22 capital programme and £0.095</w:t>
      </w:r>
      <w:r w:rsidR="00FE5735" w:rsidRPr="00A0088F">
        <w:rPr>
          <w:rFonts w:cs="Arial"/>
          <w:color w:val="auto"/>
        </w:rPr>
        <w:t xml:space="preserve"> million is </w:t>
      </w:r>
      <w:r w:rsidR="00E16948">
        <w:rPr>
          <w:rFonts w:cs="Arial"/>
          <w:color w:val="auto"/>
        </w:rPr>
        <w:t>to provide additional funding for some projects for which budget has proven insufficient</w:t>
      </w:r>
      <w:r w:rsidR="00FE5735" w:rsidRPr="00A0088F">
        <w:rPr>
          <w:rFonts w:cs="Arial"/>
          <w:color w:val="auto"/>
        </w:rPr>
        <w:t>.</w:t>
      </w:r>
      <w:r w:rsidR="00A0088F" w:rsidRPr="00A0088F">
        <w:rPr>
          <w:rFonts w:cs="Arial"/>
          <w:color w:val="auto"/>
        </w:rPr>
        <w:t xml:space="preserve">  Main areas of slippage relate to Museum of Oxford</w:t>
      </w:r>
      <w:r w:rsidR="00A0088F" w:rsidRPr="00A0088F">
        <w:rPr>
          <w:color w:val="auto"/>
        </w:rPr>
        <w:t xml:space="preserve">; Housing Company Loans; </w:t>
      </w:r>
      <w:r w:rsidR="00E16948">
        <w:rPr>
          <w:color w:val="auto"/>
        </w:rPr>
        <w:t>Go Ultra Low Oxford</w:t>
      </w:r>
      <w:r w:rsidR="00E16948" w:rsidRPr="00A0088F">
        <w:rPr>
          <w:color w:val="auto"/>
        </w:rPr>
        <w:t xml:space="preserve"> </w:t>
      </w:r>
      <w:r w:rsidR="00A0088F" w:rsidRPr="00A0088F">
        <w:rPr>
          <w:color w:val="auto"/>
        </w:rPr>
        <w:t xml:space="preserve">schemes and </w:t>
      </w:r>
      <w:proofErr w:type="gramStart"/>
      <w:r w:rsidR="00A0088F" w:rsidRPr="00A0088F">
        <w:rPr>
          <w:color w:val="auto"/>
        </w:rPr>
        <w:t>Clean</w:t>
      </w:r>
      <w:proofErr w:type="gramEnd"/>
      <w:r w:rsidR="00A0088F" w:rsidRPr="00A0088F">
        <w:rPr>
          <w:color w:val="auto"/>
        </w:rPr>
        <w:t xml:space="preserve"> bus technology.  The small net overspends on a number of schemes ha</w:t>
      </w:r>
      <w:r w:rsidR="00E16948">
        <w:rPr>
          <w:color w:val="auto"/>
        </w:rPr>
        <w:t>ve</w:t>
      </w:r>
      <w:r w:rsidR="00A0088F" w:rsidRPr="00A0088F">
        <w:rPr>
          <w:color w:val="auto"/>
        </w:rPr>
        <w:t xml:space="preserve"> been funded by use of revenue funding and capital reserves.</w:t>
      </w:r>
    </w:p>
    <w:p w:rsidR="006B7B01" w:rsidRPr="00B1310E" w:rsidRDefault="00F26F53" w:rsidP="00712664">
      <w:pPr>
        <w:pStyle w:val="ListParagraph"/>
        <w:numPr>
          <w:ilvl w:val="0"/>
          <w:numId w:val="0"/>
        </w:numPr>
        <w:tabs>
          <w:tab w:val="clear" w:pos="426"/>
          <w:tab w:val="left" w:pos="567"/>
        </w:tabs>
        <w:ind w:left="567" w:hanging="425"/>
        <w:rPr>
          <w:b/>
          <w:color w:val="FF0000"/>
        </w:rPr>
      </w:pPr>
      <w:r w:rsidRPr="00B1310E">
        <w:rPr>
          <w:rFonts w:cs="Arial"/>
          <w:color w:val="FF0000"/>
        </w:rPr>
        <w:t xml:space="preserve"> </w:t>
      </w:r>
      <w:r w:rsidR="000C3FBC" w:rsidRPr="00B1310E">
        <w:rPr>
          <w:rFonts w:cs="Arial"/>
          <w:color w:val="FF0000"/>
        </w:rPr>
        <w:t xml:space="preserve"> </w:t>
      </w:r>
    </w:p>
    <w:p w:rsidR="00536A53" w:rsidRPr="0021127E" w:rsidRDefault="00536A53" w:rsidP="0062626A">
      <w:pPr>
        <w:pStyle w:val="ListParagraph"/>
        <w:numPr>
          <w:ilvl w:val="0"/>
          <w:numId w:val="0"/>
        </w:numPr>
        <w:tabs>
          <w:tab w:val="clear" w:pos="426"/>
        </w:tabs>
        <w:ind w:left="567"/>
        <w:rPr>
          <w:b/>
        </w:rPr>
      </w:pPr>
      <w:r w:rsidRPr="0021127E">
        <w:rPr>
          <w:b/>
        </w:rPr>
        <w:t>General Fund Revenue</w:t>
      </w:r>
    </w:p>
    <w:p w:rsidR="002A5423" w:rsidRDefault="002A5423" w:rsidP="00684EE2">
      <w:pPr>
        <w:pStyle w:val="ListParagraph"/>
        <w:tabs>
          <w:tab w:val="clear" w:pos="426"/>
        </w:tabs>
        <w:ind w:left="567" w:hanging="567"/>
      </w:pPr>
      <w:r>
        <w:t>At Cabinet on 24</w:t>
      </w:r>
      <w:r w:rsidRPr="00E3496C">
        <w:rPr>
          <w:vertAlign w:val="superscript"/>
        </w:rPr>
        <w:t>th</w:t>
      </w:r>
      <w:r>
        <w:t xml:space="preserve"> June 2021 members were advised of the forecast financial implications arising from the pandemic COVID 19. Losses of income and increased costs indicated deficits in the councils four year Medium Term Financial Plan of around £23 million with deficit in 2020-21 estimated at around £9 million. More importantly at the time Government financial support had only amounted to £110k with limited confidence that more would be forthcoming. </w:t>
      </w:r>
    </w:p>
    <w:p w:rsidR="002A5423" w:rsidRDefault="002A5423" w:rsidP="00684EE2">
      <w:pPr>
        <w:pStyle w:val="ListParagraph"/>
        <w:tabs>
          <w:tab w:val="clear" w:pos="426"/>
        </w:tabs>
        <w:ind w:left="567" w:hanging="567"/>
        <w:rPr>
          <w:color w:val="auto"/>
        </w:rPr>
      </w:pPr>
      <w:r>
        <w:rPr>
          <w:color w:val="auto"/>
        </w:rPr>
        <w:t xml:space="preserve">Members took a number of decisions to mitigate the forecast deficit and effectively pause a number of capital and revenue items that had previously been approved in the February budget setting cycle. </w:t>
      </w:r>
      <w:r w:rsidR="00D0399D">
        <w:rPr>
          <w:color w:val="auto"/>
        </w:rPr>
        <w:t xml:space="preserve">In addition Cabinet agreed to set aside an amount from earmarked reserves to cover the deficit in 2020-21 together with forecast deficits in future years of the MTFP remaining after including additional efficiencies or increased income arising from the budget setting cycle. This amount transferred into the COVID </w:t>
      </w:r>
      <w:r w:rsidR="00BC7572">
        <w:rPr>
          <w:color w:val="auto"/>
        </w:rPr>
        <w:t>Emergency R</w:t>
      </w:r>
      <w:r w:rsidR="00D0399D">
        <w:rPr>
          <w:color w:val="auto"/>
        </w:rPr>
        <w:t>eserve is around £11 million.</w:t>
      </w:r>
    </w:p>
    <w:p w:rsidR="002A5423" w:rsidRPr="00CF57EB" w:rsidRDefault="002A5423" w:rsidP="00684EE2">
      <w:pPr>
        <w:pStyle w:val="ListParagraph"/>
        <w:tabs>
          <w:tab w:val="clear" w:pos="426"/>
        </w:tabs>
        <w:ind w:left="567" w:hanging="567"/>
        <w:rPr>
          <w:color w:val="auto"/>
        </w:rPr>
      </w:pPr>
      <w:r>
        <w:rPr>
          <w:color w:val="auto"/>
        </w:rPr>
        <w:lastRenderedPageBreak/>
        <w:t>This report gives a financial update as to the out</w:t>
      </w:r>
      <w:r w:rsidR="00712664">
        <w:rPr>
          <w:color w:val="auto"/>
        </w:rPr>
        <w:t>t</w:t>
      </w:r>
      <w:r>
        <w:rPr>
          <w:color w:val="auto"/>
        </w:rPr>
        <w:t>urn position for 2020-21. Whilst the forecast losses and increased expenditure have largely still materialised, government grant has increased from the initial £110k to an amount of £</w:t>
      </w:r>
      <w:r w:rsidR="00946A7E">
        <w:rPr>
          <w:color w:val="auto"/>
        </w:rPr>
        <w:t>7 million</w:t>
      </w:r>
      <w:r w:rsidR="00BC7572">
        <w:rPr>
          <w:color w:val="auto"/>
        </w:rPr>
        <w:t xml:space="preserve"> </w:t>
      </w:r>
      <w:proofErr w:type="spellStart"/>
      <w:r>
        <w:rPr>
          <w:color w:val="auto"/>
        </w:rPr>
        <w:t>million</w:t>
      </w:r>
      <w:proofErr w:type="spellEnd"/>
      <w:r>
        <w:rPr>
          <w:color w:val="auto"/>
        </w:rPr>
        <w:t xml:space="preserve"> although this falls short of the estimated losses over the four year medium term which in December 2020 were revised to </w:t>
      </w:r>
      <w:r w:rsidR="00D0399D">
        <w:rPr>
          <w:color w:val="auto"/>
        </w:rPr>
        <w:t>£26 million.</w:t>
      </w:r>
    </w:p>
    <w:p w:rsidR="00E141C6" w:rsidRPr="00B1310E" w:rsidRDefault="001757B4" w:rsidP="00684EE2">
      <w:pPr>
        <w:pStyle w:val="ListParagraph"/>
        <w:tabs>
          <w:tab w:val="clear" w:pos="426"/>
        </w:tabs>
        <w:ind w:left="567" w:hanging="567"/>
        <w:rPr>
          <w:color w:val="FF0000"/>
        </w:rPr>
      </w:pPr>
      <w:r w:rsidRPr="00E86916">
        <w:rPr>
          <w:color w:val="auto"/>
        </w:rPr>
        <w:t xml:space="preserve">General Fund </w:t>
      </w:r>
      <w:r w:rsidR="00D0399D">
        <w:rPr>
          <w:color w:val="auto"/>
        </w:rPr>
        <w:t>out</w:t>
      </w:r>
      <w:r w:rsidR="00712664">
        <w:rPr>
          <w:color w:val="auto"/>
        </w:rPr>
        <w:t>t</w:t>
      </w:r>
      <w:r w:rsidR="00D0399D">
        <w:rPr>
          <w:color w:val="auto"/>
        </w:rPr>
        <w:t>urn def</w:t>
      </w:r>
      <w:r w:rsidR="00E86916" w:rsidRPr="00E86916">
        <w:rPr>
          <w:color w:val="auto"/>
        </w:rPr>
        <w:t>icit</w:t>
      </w:r>
      <w:r w:rsidRPr="00E86916">
        <w:rPr>
          <w:color w:val="auto"/>
        </w:rPr>
        <w:t xml:space="preserve"> </w:t>
      </w:r>
      <w:r w:rsidR="00D0399D">
        <w:rPr>
          <w:color w:val="auto"/>
        </w:rPr>
        <w:t xml:space="preserve">was </w:t>
      </w:r>
      <w:r w:rsidRPr="00E86916">
        <w:rPr>
          <w:color w:val="auto"/>
        </w:rPr>
        <w:t>£</w:t>
      </w:r>
      <w:r w:rsidR="007F74E6" w:rsidRPr="00E86916">
        <w:rPr>
          <w:color w:val="auto"/>
        </w:rPr>
        <w:t>2.</w:t>
      </w:r>
      <w:r w:rsidR="00E86916" w:rsidRPr="00E86916">
        <w:rPr>
          <w:color w:val="auto"/>
        </w:rPr>
        <w:t>043</w:t>
      </w:r>
      <w:r w:rsidRPr="00E86916">
        <w:rPr>
          <w:color w:val="auto"/>
        </w:rPr>
        <w:t xml:space="preserve"> million </w:t>
      </w:r>
      <w:r w:rsidR="007F74E6" w:rsidRPr="00E86916">
        <w:rPr>
          <w:color w:val="auto"/>
        </w:rPr>
        <w:t xml:space="preserve">as set out in Appendix </w:t>
      </w:r>
      <w:proofErr w:type="gramStart"/>
      <w:r w:rsidR="007F74E6" w:rsidRPr="00E86916">
        <w:rPr>
          <w:color w:val="auto"/>
        </w:rPr>
        <w:t>A</w:t>
      </w:r>
      <w:proofErr w:type="gramEnd"/>
      <w:r w:rsidR="00D0399D">
        <w:rPr>
          <w:color w:val="auto"/>
        </w:rPr>
        <w:t xml:space="preserve"> compared to previous quarter end forecasts of around £2.5 million</w:t>
      </w:r>
      <w:r w:rsidR="007F74E6" w:rsidRPr="00E86916">
        <w:rPr>
          <w:color w:val="auto"/>
        </w:rPr>
        <w:t xml:space="preserve">.  </w:t>
      </w:r>
      <w:r w:rsidR="00CE0268">
        <w:rPr>
          <w:color w:val="auto"/>
        </w:rPr>
        <w:t>T</w:t>
      </w:r>
      <w:r w:rsidR="00290540" w:rsidRPr="00E86916">
        <w:rPr>
          <w:color w:val="auto"/>
        </w:rPr>
        <w:t>h</w:t>
      </w:r>
      <w:r w:rsidR="00E86916" w:rsidRPr="00E86916">
        <w:rPr>
          <w:color w:val="auto"/>
        </w:rPr>
        <w:t xml:space="preserve">is </w:t>
      </w:r>
      <w:r w:rsidR="00BC7572">
        <w:rPr>
          <w:color w:val="auto"/>
        </w:rPr>
        <w:t xml:space="preserve">deficit </w:t>
      </w:r>
      <w:r w:rsidR="00E86916" w:rsidRPr="00E86916">
        <w:rPr>
          <w:color w:val="auto"/>
        </w:rPr>
        <w:t xml:space="preserve">will be covered by a transfer from the COVID </w:t>
      </w:r>
      <w:r w:rsidR="00712664" w:rsidRPr="00E86916">
        <w:rPr>
          <w:color w:val="auto"/>
        </w:rPr>
        <w:t>emergency reserve</w:t>
      </w:r>
      <w:r w:rsidR="00E86916" w:rsidRPr="00E86916">
        <w:rPr>
          <w:color w:val="auto"/>
        </w:rPr>
        <w:t xml:space="preserve">, created specifically for </w:t>
      </w:r>
      <w:r w:rsidR="00BC7572">
        <w:rPr>
          <w:color w:val="auto"/>
        </w:rPr>
        <w:t>this purpose</w:t>
      </w:r>
      <w:r w:rsidR="00E86916" w:rsidRPr="00E86916">
        <w:rPr>
          <w:color w:val="auto"/>
        </w:rPr>
        <w:t>.</w:t>
      </w:r>
      <w:r w:rsidR="00290540" w:rsidRPr="00E86916">
        <w:rPr>
          <w:color w:val="auto"/>
        </w:rPr>
        <w:t xml:space="preserve">  The</w:t>
      </w:r>
      <w:r w:rsidRPr="00E86916">
        <w:rPr>
          <w:color w:val="auto"/>
        </w:rPr>
        <w:t xml:space="preserve"> </w:t>
      </w:r>
      <w:r w:rsidR="00637694" w:rsidRPr="00E86916">
        <w:rPr>
          <w:color w:val="auto"/>
        </w:rPr>
        <w:t>working</w:t>
      </w:r>
      <w:r w:rsidRPr="00E86916">
        <w:rPr>
          <w:color w:val="auto"/>
        </w:rPr>
        <w:t xml:space="preserve"> balance remains unchanged at £3.622 million.</w:t>
      </w:r>
    </w:p>
    <w:p w:rsidR="008E28E4" w:rsidRPr="00684EE2" w:rsidRDefault="008E28E4" w:rsidP="00684EE2">
      <w:pPr>
        <w:tabs>
          <w:tab w:val="left" w:pos="567"/>
        </w:tabs>
        <w:rPr>
          <w:color w:val="auto"/>
        </w:rPr>
      </w:pPr>
    </w:p>
    <w:p w:rsidR="001757B4" w:rsidRPr="0021127E" w:rsidRDefault="001757B4" w:rsidP="0062626A">
      <w:pPr>
        <w:pStyle w:val="ListParagraph"/>
        <w:numPr>
          <w:ilvl w:val="0"/>
          <w:numId w:val="0"/>
        </w:numPr>
        <w:tabs>
          <w:tab w:val="clear" w:pos="426"/>
        </w:tabs>
        <w:ind w:left="567"/>
        <w:rPr>
          <w:b/>
        </w:rPr>
      </w:pPr>
      <w:r w:rsidRPr="0021127E">
        <w:rPr>
          <w:b/>
        </w:rPr>
        <w:t>General Fund Earmarked Reserves and Working Balance</w:t>
      </w:r>
    </w:p>
    <w:p w:rsidR="004C3624" w:rsidRPr="006F4377" w:rsidRDefault="004C3624" w:rsidP="006F4377">
      <w:pPr>
        <w:pStyle w:val="ListParagraph"/>
        <w:tabs>
          <w:tab w:val="clear" w:pos="426"/>
        </w:tabs>
        <w:ind w:left="567" w:hanging="567"/>
      </w:pPr>
      <w:r w:rsidRPr="006F4377">
        <w:t xml:space="preserve">No </w:t>
      </w:r>
      <w:r w:rsidR="008E28E4" w:rsidRPr="006F4377">
        <w:t>c</w:t>
      </w:r>
      <w:r w:rsidRPr="006F4377">
        <w:t>arry forward</w:t>
      </w:r>
      <w:r w:rsidR="00BC7572" w:rsidRPr="006F4377">
        <w:t xml:space="preserve"> of unspent General Fund budgets </w:t>
      </w:r>
      <w:r w:rsidRPr="006F4377">
        <w:t xml:space="preserve">have been </w:t>
      </w:r>
      <w:r w:rsidR="00BC7572" w:rsidRPr="006F4377">
        <w:t xml:space="preserve">allowed </w:t>
      </w:r>
      <w:r w:rsidRPr="006F4377">
        <w:t>this year due to the financial pressures that the Council has faced, and will continue to face into 2021/22</w:t>
      </w:r>
      <w:r w:rsidR="00BC7572" w:rsidRPr="006F4377">
        <w:t xml:space="preserve"> and the medium term</w:t>
      </w:r>
      <w:r w:rsidRPr="006F4377">
        <w:t>.</w:t>
      </w:r>
      <w:r w:rsidR="00BC7572" w:rsidRPr="006F4377">
        <w:t xml:space="preserve"> Any underspends have been subsumed into the overall net deficit. </w:t>
      </w:r>
    </w:p>
    <w:p w:rsidR="004C3624" w:rsidRDefault="004C3624" w:rsidP="006F4377">
      <w:pPr>
        <w:pStyle w:val="ListParagraph"/>
        <w:tabs>
          <w:tab w:val="clear" w:pos="426"/>
          <w:tab w:val="left" w:pos="567"/>
        </w:tabs>
        <w:ind w:left="567" w:hanging="567"/>
        <w:rPr>
          <w:color w:val="auto"/>
        </w:rPr>
      </w:pPr>
      <w:r w:rsidRPr="00230D26">
        <w:rPr>
          <w:color w:val="auto"/>
        </w:rPr>
        <w:t>The General Fund Earmarked Reserves as at the 31 March 2021 stand at £68.374 million, 42% of which relates to Business Rates Retention and 17% relates to the COVID emergency reserve and a further 9% is held for funding of the Capital Programme.</w:t>
      </w:r>
      <w:r w:rsidR="00366DD9">
        <w:rPr>
          <w:color w:val="auto"/>
        </w:rPr>
        <w:t xml:space="preserve">  Ward Member budget underspends were transferred into a reserve for use in future years.</w:t>
      </w:r>
    </w:p>
    <w:p w:rsidR="004C3624" w:rsidRDefault="008E28E4" w:rsidP="006F4377">
      <w:pPr>
        <w:pStyle w:val="ListParagraph"/>
        <w:tabs>
          <w:tab w:val="clear" w:pos="426"/>
          <w:tab w:val="left" w:pos="567"/>
        </w:tabs>
        <w:ind w:left="567" w:hanging="567"/>
        <w:rPr>
          <w:color w:val="auto"/>
        </w:rPr>
      </w:pPr>
      <w:r>
        <w:rPr>
          <w:color w:val="auto"/>
        </w:rPr>
        <w:t>The most notable net movements on Earmarked Reserves in year are:</w:t>
      </w:r>
    </w:p>
    <w:p w:rsidR="008E28E4" w:rsidRDefault="008E28E4" w:rsidP="006F4377">
      <w:pPr>
        <w:pStyle w:val="ListParagraph"/>
        <w:numPr>
          <w:ilvl w:val="1"/>
          <w:numId w:val="2"/>
        </w:numPr>
        <w:ind w:left="1134" w:hanging="425"/>
        <w:rPr>
          <w:color w:val="auto"/>
        </w:rPr>
      </w:pPr>
      <w:r w:rsidRPr="005525EC">
        <w:rPr>
          <w:color w:val="auto"/>
        </w:rPr>
        <w:t xml:space="preserve">NDR Retention reserve – The NDR retention reserve is used to smooth out fluctuations in business rates income over the years. Accounting convention also requires that only income </w:t>
      </w:r>
      <w:proofErr w:type="spellStart"/>
      <w:r w:rsidRPr="005525EC">
        <w:rPr>
          <w:color w:val="auto"/>
        </w:rPr>
        <w:t>precepted</w:t>
      </w:r>
      <w:proofErr w:type="spellEnd"/>
      <w:r w:rsidRPr="005525EC">
        <w:rPr>
          <w:color w:val="auto"/>
        </w:rPr>
        <w:t xml:space="preserve"> by the Council at the beginning of the year is credited to the Revenue account and any balance arising from variation in income collected is transferred to reserves and adjusted for the following year. In addition the reserve is credited with one off income arising from the Business Rates Distribution Group. </w:t>
      </w:r>
      <w:r w:rsidR="002F0E22">
        <w:rPr>
          <w:color w:val="auto"/>
        </w:rPr>
        <w:t>During 2020/21 the Government mandated business rate reliefs to be applied to business rate accounts which are supported by section 31 payments.  This resulted in a large deficit on the collection fund to be charged to revenue in future years.  The section 31 payments supporting these deficits have been received in 2020/21 this balance of £23.895 million has been transferred into earmarked reserves to allow it to be transferred back to match the future years deficits.</w:t>
      </w:r>
    </w:p>
    <w:p w:rsidR="008E28E4" w:rsidRDefault="008E28E4" w:rsidP="006F4377">
      <w:pPr>
        <w:pStyle w:val="ListParagraph"/>
        <w:numPr>
          <w:ilvl w:val="1"/>
          <w:numId w:val="2"/>
        </w:numPr>
        <w:ind w:left="1134" w:hanging="425"/>
        <w:rPr>
          <w:color w:val="auto"/>
        </w:rPr>
      </w:pPr>
      <w:r>
        <w:rPr>
          <w:color w:val="auto"/>
        </w:rPr>
        <w:t>COVID emergency reserve - £11.327 million balance in this new reserve, which has been set up to assist the Council with the financial pressure that it is facing due to the COVID pandemic.</w:t>
      </w:r>
      <w:r w:rsidR="00E16948">
        <w:rPr>
          <w:color w:val="auto"/>
        </w:rPr>
        <w:t xml:space="preserve">  This is a reallocation from other reserves.</w:t>
      </w:r>
    </w:p>
    <w:p w:rsidR="008E28E4" w:rsidRPr="008E28E4" w:rsidRDefault="008E28E4" w:rsidP="00990D52">
      <w:pPr>
        <w:pStyle w:val="ListParagraph"/>
        <w:numPr>
          <w:ilvl w:val="0"/>
          <w:numId w:val="0"/>
        </w:numPr>
        <w:ind w:left="1134"/>
        <w:rPr>
          <w:color w:val="auto"/>
        </w:rPr>
      </w:pPr>
    </w:p>
    <w:p w:rsidR="0062626A" w:rsidRDefault="00FA385D" w:rsidP="0062626A">
      <w:pPr>
        <w:pStyle w:val="ListParagraph"/>
        <w:numPr>
          <w:ilvl w:val="0"/>
          <w:numId w:val="0"/>
        </w:numPr>
        <w:tabs>
          <w:tab w:val="clear" w:pos="426"/>
        </w:tabs>
        <w:ind w:left="709"/>
        <w:rPr>
          <w:b/>
        </w:rPr>
      </w:pPr>
      <w:r w:rsidRPr="006F4377">
        <w:rPr>
          <w:b/>
        </w:rPr>
        <w:t xml:space="preserve">General Fund </w:t>
      </w:r>
      <w:r w:rsidR="00E44A0A" w:rsidRPr="006F4377">
        <w:rPr>
          <w:b/>
        </w:rPr>
        <w:t>Variations</w:t>
      </w:r>
    </w:p>
    <w:p w:rsidR="00946A7E" w:rsidRPr="0062626A" w:rsidRDefault="0062626A" w:rsidP="0062626A">
      <w:pPr>
        <w:pStyle w:val="ListParagraph"/>
        <w:numPr>
          <w:ilvl w:val="0"/>
          <w:numId w:val="0"/>
        </w:numPr>
        <w:tabs>
          <w:tab w:val="clear" w:pos="426"/>
        </w:tabs>
        <w:ind w:left="709" w:hanging="709"/>
        <w:rPr>
          <w:b/>
        </w:rPr>
      </w:pPr>
      <w:r>
        <w:rPr>
          <w:b/>
        </w:rPr>
        <w:t>10</w:t>
      </w:r>
      <w:r>
        <w:rPr>
          <w:b/>
        </w:rPr>
        <w:tab/>
      </w:r>
      <w:r w:rsidR="00CC2459" w:rsidRPr="004205AA">
        <w:rPr>
          <w:color w:val="auto"/>
        </w:rPr>
        <w:t xml:space="preserve">At </w:t>
      </w:r>
      <w:r w:rsidR="00763052" w:rsidRPr="004205AA">
        <w:rPr>
          <w:color w:val="auto"/>
        </w:rPr>
        <w:t xml:space="preserve">the year end </w:t>
      </w:r>
      <w:r w:rsidR="00CC2459" w:rsidRPr="004205AA">
        <w:rPr>
          <w:color w:val="auto"/>
        </w:rPr>
        <w:t>t</w:t>
      </w:r>
      <w:r w:rsidR="006C483B" w:rsidRPr="004205AA">
        <w:rPr>
          <w:color w:val="auto"/>
        </w:rPr>
        <w:t xml:space="preserve">he General Fund </w:t>
      </w:r>
      <w:r w:rsidR="00763052" w:rsidRPr="004205AA">
        <w:rPr>
          <w:color w:val="auto"/>
        </w:rPr>
        <w:t xml:space="preserve">service areas </w:t>
      </w:r>
      <w:r w:rsidR="00E44A0A" w:rsidRPr="004205AA">
        <w:rPr>
          <w:color w:val="auto"/>
        </w:rPr>
        <w:t xml:space="preserve">spend </w:t>
      </w:r>
      <w:r w:rsidR="00763052" w:rsidRPr="004205AA">
        <w:rPr>
          <w:color w:val="auto"/>
        </w:rPr>
        <w:t>show</w:t>
      </w:r>
      <w:r w:rsidR="00160BAB" w:rsidRPr="004205AA">
        <w:rPr>
          <w:color w:val="auto"/>
        </w:rPr>
        <w:t>ed</w:t>
      </w:r>
      <w:r w:rsidR="008679B6" w:rsidRPr="004205AA">
        <w:rPr>
          <w:color w:val="auto"/>
        </w:rPr>
        <w:t xml:space="preserve"> an adverse </w:t>
      </w:r>
      <w:r w:rsidR="00763052" w:rsidRPr="004205AA">
        <w:rPr>
          <w:color w:val="auto"/>
        </w:rPr>
        <w:t>variance of £</w:t>
      </w:r>
      <w:r w:rsidR="00A42425" w:rsidRPr="004205AA">
        <w:rPr>
          <w:color w:val="auto"/>
        </w:rPr>
        <w:t>5.959</w:t>
      </w:r>
      <w:r w:rsidR="00763052" w:rsidRPr="004205AA">
        <w:rPr>
          <w:color w:val="auto"/>
        </w:rPr>
        <w:t xml:space="preserve"> million</w:t>
      </w:r>
      <w:r w:rsidR="00E141C6" w:rsidRPr="004205AA">
        <w:rPr>
          <w:color w:val="auto"/>
        </w:rPr>
        <w:t xml:space="preserve">.  </w:t>
      </w:r>
      <w:r w:rsidR="00A42425" w:rsidRPr="004205AA">
        <w:rPr>
          <w:color w:val="auto"/>
        </w:rPr>
        <w:t>COVID19 had a significant impact on the key income streams of the Council</w:t>
      </w:r>
      <w:r w:rsidR="00FE7460" w:rsidRPr="004205AA">
        <w:rPr>
          <w:color w:val="auto"/>
        </w:rPr>
        <w:t xml:space="preserve"> </w:t>
      </w:r>
      <w:r w:rsidR="00946A7E" w:rsidRPr="004205AA">
        <w:rPr>
          <w:color w:val="auto"/>
        </w:rPr>
        <w:t xml:space="preserve">especially car parking, commercial tenant income, lettings of space at the town hall and dividends and returns from our wholly owned companies Oxford Direct </w:t>
      </w:r>
      <w:r w:rsidR="004205AA" w:rsidRPr="004205AA">
        <w:rPr>
          <w:color w:val="auto"/>
        </w:rPr>
        <w:t>Services</w:t>
      </w:r>
      <w:r w:rsidR="00946A7E" w:rsidRPr="004205AA">
        <w:rPr>
          <w:color w:val="auto"/>
        </w:rPr>
        <w:t xml:space="preserve"> Ltd and Oxford City Housing Ltd. The </w:t>
      </w:r>
      <w:r w:rsidR="00946A7E" w:rsidRPr="004205AA">
        <w:rPr>
          <w:color w:val="auto"/>
        </w:rPr>
        <w:lastRenderedPageBreak/>
        <w:t>Government introduced a scheme to cover 75% of losses of income arising from</w:t>
      </w:r>
      <w:r w:rsidR="00A42425" w:rsidRPr="004205AA">
        <w:rPr>
          <w:color w:val="auto"/>
        </w:rPr>
        <w:t xml:space="preserve"> Sales, Fees and Charges </w:t>
      </w:r>
      <w:r w:rsidR="00BB04C6" w:rsidRPr="004205AA">
        <w:rPr>
          <w:color w:val="auto"/>
        </w:rPr>
        <w:t>(SFC)</w:t>
      </w:r>
      <w:r w:rsidR="00946A7E" w:rsidRPr="004205AA">
        <w:rPr>
          <w:color w:val="auto"/>
        </w:rPr>
        <w:t xml:space="preserve"> in 2020-21 above a 5% threshold although this grant did not cover losses of commercial income. This was subsequently extended to cover the first three months of 2021-22. G</w:t>
      </w:r>
      <w:r w:rsidR="00D60200" w:rsidRPr="004205AA">
        <w:rPr>
          <w:color w:val="auto"/>
        </w:rPr>
        <w:t xml:space="preserve">rant received </w:t>
      </w:r>
      <w:r w:rsidR="00946A7E" w:rsidRPr="004205AA">
        <w:rPr>
          <w:color w:val="auto"/>
        </w:rPr>
        <w:t xml:space="preserve">in 2020-21 </w:t>
      </w:r>
      <w:r w:rsidR="00D60200" w:rsidRPr="004205AA">
        <w:rPr>
          <w:color w:val="auto"/>
        </w:rPr>
        <w:t xml:space="preserve">totalled approx. £7 million, </w:t>
      </w:r>
      <w:r w:rsidR="00446FCC" w:rsidRPr="004205AA">
        <w:rPr>
          <w:color w:val="auto"/>
        </w:rPr>
        <w:t xml:space="preserve">the </w:t>
      </w:r>
      <w:r w:rsidR="00946A7E" w:rsidRPr="004205AA">
        <w:rPr>
          <w:color w:val="auto"/>
        </w:rPr>
        <w:t xml:space="preserve">service area </w:t>
      </w:r>
      <w:r w:rsidR="00446FCC" w:rsidRPr="004205AA">
        <w:rPr>
          <w:color w:val="auto"/>
        </w:rPr>
        <w:t>variance prior to receipt of this grant was £13.218 million.</w:t>
      </w:r>
      <w:r w:rsidR="00D60200" w:rsidRPr="004205AA">
        <w:rPr>
          <w:color w:val="auto"/>
        </w:rPr>
        <w:t xml:space="preserve">  The Grant received has been allocated against the services </w:t>
      </w:r>
      <w:r w:rsidR="00946A7E" w:rsidRPr="004205AA">
        <w:rPr>
          <w:color w:val="auto"/>
        </w:rPr>
        <w:t xml:space="preserve">where </w:t>
      </w:r>
      <w:r w:rsidR="00D60200" w:rsidRPr="004205AA">
        <w:rPr>
          <w:color w:val="auto"/>
        </w:rPr>
        <w:t xml:space="preserve">the income losses </w:t>
      </w:r>
      <w:r w:rsidR="00946A7E" w:rsidRPr="004205AA">
        <w:rPr>
          <w:color w:val="auto"/>
        </w:rPr>
        <w:t>arose.</w:t>
      </w:r>
      <w:r w:rsidR="004205AA">
        <w:rPr>
          <w:color w:val="auto"/>
        </w:rPr>
        <w:t xml:space="preserve">  </w:t>
      </w:r>
      <w:r w:rsidR="00946A7E" w:rsidRPr="004205AA">
        <w:rPr>
          <w:color w:val="auto"/>
        </w:rPr>
        <w:t xml:space="preserve">Notable variations to budget included </w:t>
      </w:r>
    </w:p>
    <w:p w:rsidR="00CA7C20" w:rsidRPr="00390CA8" w:rsidRDefault="00CA7C20" w:rsidP="004D3B4C">
      <w:pPr>
        <w:pStyle w:val="ListParagraph"/>
        <w:numPr>
          <w:ilvl w:val="0"/>
          <w:numId w:val="0"/>
        </w:numPr>
        <w:spacing w:after="0" w:line="276" w:lineRule="auto"/>
        <w:ind w:left="567"/>
        <w:contextualSpacing/>
        <w:rPr>
          <w:color w:val="auto"/>
        </w:rPr>
      </w:pPr>
    </w:p>
    <w:p w:rsidR="00BB04C6" w:rsidRPr="00390CA8" w:rsidRDefault="00BB04C6" w:rsidP="006F4377">
      <w:pPr>
        <w:pStyle w:val="ListParagraph"/>
        <w:numPr>
          <w:ilvl w:val="0"/>
          <w:numId w:val="13"/>
        </w:numPr>
        <w:tabs>
          <w:tab w:val="clear" w:pos="426"/>
        </w:tabs>
        <w:ind w:left="1134" w:hanging="425"/>
        <w:rPr>
          <w:color w:val="auto"/>
        </w:rPr>
      </w:pPr>
      <w:r w:rsidRPr="00390CA8">
        <w:rPr>
          <w:color w:val="auto"/>
        </w:rPr>
        <w:t xml:space="preserve">Regulatory Services &amp; Community Safety </w:t>
      </w:r>
      <w:r w:rsidR="00446FCC" w:rsidRPr="00390CA8">
        <w:rPr>
          <w:color w:val="auto"/>
        </w:rPr>
        <w:t>–</w:t>
      </w:r>
      <w:r w:rsidRPr="00390CA8">
        <w:rPr>
          <w:color w:val="auto"/>
        </w:rPr>
        <w:t xml:space="preserve"> </w:t>
      </w:r>
      <w:r w:rsidR="00446FCC" w:rsidRPr="00390CA8">
        <w:rPr>
          <w:color w:val="auto"/>
        </w:rPr>
        <w:t xml:space="preserve">the final outturn showed a favourable variance of </w:t>
      </w:r>
      <w:r w:rsidRPr="00390CA8">
        <w:rPr>
          <w:color w:val="auto"/>
        </w:rPr>
        <w:t>£0.215 million after £0.480 million o</w:t>
      </w:r>
      <w:r w:rsidR="00446FCC" w:rsidRPr="00390CA8">
        <w:rPr>
          <w:color w:val="auto"/>
        </w:rPr>
        <w:t xml:space="preserve">f SFC funding received.  </w:t>
      </w:r>
      <w:r w:rsidR="00DD396E" w:rsidRPr="00390CA8">
        <w:rPr>
          <w:color w:val="auto"/>
        </w:rPr>
        <w:t>The adverse variance of £0.265 million is due to shortfall in income in Building Control (£0.040 million)</w:t>
      </w:r>
      <w:r w:rsidR="00062CA2" w:rsidRPr="00390CA8">
        <w:rPr>
          <w:color w:val="auto"/>
        </w:rPr>
        <w:t xml:space="preserve">; HMO Licencing (£0.106 million); Business Regulation (£0.180 million); </w:t>
      </w:r>
      <w:r w:rsidR="00A65C9C">
        <w:rPr>
          <w:color w:val="auto"/>
        </w:rPr>
        <w:t xml:space="preserve">and </w:t>
      </w:r>
      <w:r w:rsidR="00062CA2" w:rsidRPr="00390CA8">
        <w:rPr>
          <w:color w:val="auto"/>
        </w:rPr>
        <w:t xml:space="preserve">General Licencing (£0.035 million) </w:t>
      </w:r>
      <w:r w:rsidR="00A65C9C">
        <w:rPr>
          <w:color w:val="auto"/>
        </w:rPr>
        <w:t>while</w:t>
      </w:r>
      <w:r w:rsidR="00062CA2" w:rsidRPr="00390CA8">
        <w:rPr>
          <w:color w:val="auto"/>
        </w:rPr>
        <w:t xml:space="preserve"> some is offset by savings on staffing in HMO Licencing and Business Regulation</w:t>
      </w:r>
      <w:r w:rsidR="00E93733" w:rsidRPr="00390CA8">
        <w:rPr>
          <w:color w:val="auto"/>
        </w:rPr>
        <w:t>.</w:t>
      </w:r>
    </w:p>
    <w:p w:rsidR="00B12892" w:rsidRPr="00390CA8" w:rsidRDefault="00A42425" w:rsidP="006F4377">
      <w:pPr>
        <w:pStyle w:val="ListParagraph"/>
        <w:numPr>
          <w:ilvl w:val="0"/>
          <w:numId w:val="13"/>
        </w:numPr>
        <w:tabs>
          <w:tab w:val="clear" w:pos="426"/>
        </w:tabs>
        <w:ind w:left="1134" w:hanging="425"/>
        <w:rPr>
          <w:color w:val="auto"/>
        </w:rPr>
      </w:pPr>
      <w:r w:rsidRPr="00390CA8">
        <w:rPr>
          <w:color w:val="auto"/>
        </w:rPr>
        <w:t xml:space="preserve">Community Services </w:t>
      </w:r>
      <w:r w:rsidR="00446FCC" w:rsidRPr="00390CA8">
        <w:rPr>
          <w:color w:val="auto"/>
        </w:rPr>
        <w:t>–</w:t>
      </w:r>
      <w:r w:rsidRPr="00390CA8">
        <w:rPr>
          <w:color w:val="auto"/>
        </w:rPr>
        <w:t xml:space="preserve"> </w:t>
      </w:r>
      <w:r w:rsidR="00446FCC" w:rsidRPr="00390CA8">
        <w:rPr>
          <w:color w:val="auto"/>
        </w:rPr>
        <w:t xml:space="preserve">the final outturn showed a favourable variance of </w:t>
      </w:r>
      <w:r w:rsidRPr="00390CA8">
        <w:rPr>
          <w:color w:val="auto"/>
        </w:rPr>
        <w:t>£0.</w:t>
      </w:r>
      <w:r w:rsidR="00BB04C6" w:rsidRPr="00390CA8">
        <w:rPr>
          <w:color w:val="auto"/>
        </w:rPr>
        <w:t xml:space="preserve">533 </w:t>
      </w:r>
      <w:r w:rsidR="00446FCC" w:rsidRPr="00390CA8">
        <w:rPr>
          <w:color w:val="auto"/>
        </w:rPr>
        <w:t>million a</w:t>
      </w:r>
      <w:r w:rsidR="00BB04C6" w:rsidRPr="00390CA8">
        <w:rPr>
          <w:color w:val="auto"/>
        </w:rPr>
        <w:t xml:space="preserve">fter </w:t>
      </w:r>
      <w:r w:rsidR="00446FCC" w:rsidRPr="00390CA8">
        <w:rPr>
          <w:color w:val="auto"/>
        </w:rPr>
        <w:t xml:space="preserve">£ £1.288 million of </w:t>
      </w:r>
      <w:r w:rsidR="00BB04C6" w:rsidRPr="00390CA8">
        <w:rPr>
          <w:color w:val="auto"/>
        </w:rPr>
        <w:t xml:space="preserve">SFC funding </w:t>
      </w:r>
      <w:r w:rsidR="00446FCC" w:rsidRPr="00390CA8">
        <w:rPr>
          <w:color w:val="auto"/>
        </w:rPr>
        <w:t>received.</w:t>
      </w:r>
      <w:r w:rsidR="00E93733" w:rsidRPr="00390CA8">
        <w:rPr>
          <w:color w:val="auto"/>
        </w:rPr>
        <w:t xml:space="preserve">  The adverse variance of £0.755 million is due to a </w:t>
      </w:r>
      <w:r w:rsidR="00326BD3">
        <w:rPr>
          <w:color w:val="auto"/>
        </w:rPr>
        <w:t xml:space="preserve">shortfall in the </w:t>
      </w:r>
      <w:r w:rsidR="00E93733" w:rsidRPr="00390CA8">
        <w:rPr>
          <w:color w:val="auto"/>
        </w:rPr>
        <w:t xml:space="preserve">management fee from our leisure provider </w:t>
      </w:r>
      <w:r w:rsidR="00326BD3">
        <w:rPr>
          <w:color w:val="auto"/>
        </w:rPr>
        <w:t xml:space="preserve">Fusion </w:t>
      </w:r>
      <w:r w:rsidR="00E93733" w:rsidRPr="00390CA8">
        <w:rPr>
          <w:color w:val="auto"/>
        </w:rPr>
        <w:t>(£0.400 million)</w:t>
      </w:r>
      <w:r w:rsidR="00C720C0">
        <w:rPr>
          <w:color w:val="auto"/>
        </w:rPr>
        <w:t>;</w:t>
      </w:r>
      <w:r w:rsidR="00E93733" w:rsidRPr="00390CA8">
        <w:rPr>
          <w:color w:val="auto"/>
        </w:rPr>
        <w:t xml:space="preserve"> income short fall in </w:t>
      </w:r>
      <w:r w:rsidR="00326BD3">
        <w:rPr>
          <w:color w:val="auto"/>
        </w:rPr>
        <w:t xml:space="preserve">letting of </w:t>
      </w:r>
      <w:r w:rsidR="00E93733" w:rsidRPr="00390CA8">
        <w:rPr>
          <w:color w:val="auto"/>
        </w:rPr>
        <w:t>Community Centres (£0.337 million); To</w:t>
      </w:r>
      <w:r w:rsidR="00390CA8" w:rsidRPr="00390CA8">
        <w:rPr>
          <w:color w:val="auto"/>
        </w:rPr>
        <w:t>wn Hall income (£0.800 million) and</w:t>
      </w:r>
      <w:r w:rsidR="00E93733" w:rsidRPr="00390CA8">
        <w:rPr>
          <w:color w:val="auto"/>
        </w:rPr>
        <w:t xml:space="preserve"> Events (£0.047 million)</w:t>
      </w:r>
      <w:r w:rsidR="00C720C0">
        <w:rPr>
          <w:color w:val="auto"/>
        </w:rPr>
        <w:t>. This has been</w:t>
      </w:r>
      <w:r w:rsidR="00E93733" w:rsidRPr="00390CA8">
        <w:rPr>
          <w:color w:val="auto"/>
        </w:rPr>
        <w:t xml:space="preserve"> </w:t>
      </w:r>
      <w:r w:rsidR="00390CA8" w:rsidRPr="00390CA8">
        <w:rPr>
          <w:color w:val="auto"/>
        </w:rPr>
        <w:t xml:space="preserve">off set with some underspends in salaries and supplies and services budgets in these areas, </w:t>
      </w:r>
      <w:r w:rsidR="00C720C0">
        <w:rPr>
          <w:color w:val="auto"/>
        </w:rPr>
        <w:t xml:space="preserve">together with </w:t>
      </w:r>
      <w:r w:rsidR="00390CA8" w:rsidRPr="00390CA8">
        <w:rPr>
          <w:color w:val="auto"/>
        </w:rPr>
        <w:t xml:space="preserve">other staff savings in the Localities team </w:t>
      </w:r>
      <w:r w:rsidR="00326BD3">
        <w:rPr>
          <w:color w:val="auto"/>
        </w:rPr>
        <w:t xml:space="preserve">offset by </w:t>
      </w:r>
      <w:r w:rsidR="00390CA8" w:rsidRPr="00390CA8">
        <w:rPr>
          <w:color w:val="auto"/>
        </w:rPr>
        <w:t>additional expenditure relating to the Community Response hub</w:t>
      </w:r>
      <w:r w:rsidR="00C720C0">
        <w:rPr>
          <w:color w:val="auto"/>
        </w:rPr>
        <w:t>s</w:t>
      </w:r>
      <w:r w:rsidR="00390CA8" w:rsidRPr="00390CA8">
        <w:rPr>
          <w:color w:val="auto"/>
        </w:rPr>
        <w:t xml:space="preserve">.  Some of this expenditure has </w:t>
      </w:r>
      <w:r w:rsidR="00326BD3">
        <w:rPr>
          <w:color w:val="auto"/>
        </w:rPr>
        <w:t xml:space="preserve">also </w:t>
      </w:r>
      <w:r w:rsidR="00390CA8" w:rsidRPr="00390CA8">
        <w:rPr>
          <w:color w:val="auto"/>
        </w:rPr>
        <w:t>been funded by additional government grants.</w:t>
      </w:r>
    </w:p>
    <w:p w:rsidR="00446FCC" w:rsidRPr="008B372B" w:rsidRDefault="00446FCC" w:rsidP="006F4377">
      <w:pPr>
        <w:pStyle w:val="ListParagraph"/>
        <w:numPr>
          <w:ilvl w:val="0"/>
          <w:numId w:val="13"/>
        </w:numPr>
        <w:tabs>
          <w:tab w:val="clear" w:pos="426"/>
        </w:tabs>
        <w:ind w:left="1134" w:hanging="425"/>
        <w:rPr>
          <w:color w:val="auto"/>
        </w:rPr>
      </w:pPr>
      <w:r w:rsidRPr="008B372B">
        <w:rPr>
          <w:color w:val="auto"/>
        </w:rPr>
        <w:t xml:space="preserve">Corporate Property – the final outturn showed an adverse variance of </w:t>
      </w:r>
      <w:r w:rsidR="00F97D4B" w:rsidRPr="008B372B">
        <w:rPr>
          <w:color w:val="auto"/>
        </w:rPr>
        <w:t>£3.373 million after receiving £0.217million of SFC funding</w:t>
      </w:r>
      <w:r w:rsidR="004205AA">
        <w:rPr>
          <w:color w:val="auto"/>
        </w:rPr>
        <w:t xml:space="preserve"> relating to lost income from market rents</w:t>
      </w:r>
      <w:r w:rsidR="00F97D4B" w:rsidRPr="008B372B">
        <w:rPr>
          <w:color w:val="auto"/>
        </w:rPr>
        <w:t>.</w:t>
      </w:r>
      <w:r w:rsidR="00A0088F" w:rsidRPr="008B372B">
        <w:rPr>
          <w:color w:val="auto"/>
        </w:rPr>
        <w:t xml:space="preserve">  The adverse variance of £3.590 million </w:t>
      </w:r>
      <w:r w:rsidR="00326BD3">
        <w:rPr>
          <w:color w:val="auto"/>
        </w:rPr>
        <w:t xml:space="preserve">arises from the requirement to establish a </w:t>
      </w:r>
      <w:r w:rsidR="00A86314" w:rsidRPr="008B372B">
        <w:rPr>
          <w:color w:val="auto"/>
        </w:rPr>
        <w:t xml:space="preserve">bad debt provision </w:t>
      </w:r>
      <w:r w:rsidR="00326BD3">
        <w:rPr>
          <w:color w:val="auto"/>
        </w:rPr>
        <w:t xml:space="preserve">on </w:t>
      </w:r>
      <w:r w:rsidR="00A86314" w:rsidRPr="008B372B">
        <w:rPr>
          <w:color w:val="auto"/>
        </w:rPr>
        <w:t xml:space="preserve">commercial property </w:t>
      </w:r>
      <w:r w:rsidR="00326BD3">
        <w:rPr>
          <w:color w:val="auto"/>
        </w:rPr>
        <w:t xml:space="preserve">rental </w:t>
      </w:r>
      <w:r w:rsidR="00A86314" w:rsidRPr="008B372B">
        <w:rPr>
          <w:color w:val="auto"/>
        </w:rPr>
        <w:t>income</w:t>
      </w:r>
      <w:r w:rsidR="00326BD3">
        <w:rPr>
          <w:color w:val="auto"/>
        </w:rPr>
        <w:t xml:space="preserve"> which represents </w:t>
      </w:r>
      <w:r w:rsidR="00133FFA">
        <w:rPr>
          <w:color w:val="auto"/>
        </w:rPr>
        <w:t>around 95%</w:t>
      </w:r>
      <w:r w:rsidR="00326BD3">
        <w:rPr>
          <w:color w:val="auto"/>
        </w:rPr>
        <w:t xml:space="preserve"> of the arrears outstanding as at 31-3-2021</w:t>
      </w:r>
      <w:r w:rsidR="004205AA">
        <w:rPr>
          <w:color w:val="auto"/>
        </w:rPr>
        <w:t>.</w:t>
      </w:r>
      <w:r w:rsidR="00A86314" w:rsidRPr="008B372B">
        <w:rPr>
          <w:color w:val="auto"/>
        </w:rPr>
        <w:t xml:space="preserve">  There has also been some health and safety and compliance work undertaken</w:t>
      </w:r>
      <w:r w:rsidR="004205AA">
        <w:rPr>
          <w:color w:val="auto"/>
        </w:rPr>
        <w:t xml:space="preserve"> costing approx. £400k</w:t>
      </w:r>
      <w:r w:rsidR="00A86314" w:rsidRPr="008B372B">
        <w:rPr>
          <w:color w:val="auto"/>
        </w:rPr>
        <w:t xml:space="preserve"> </w:t>
      </w:r>
      <w:r w:rsidR="008B372B" w:rsidRPr="008B372B">
        <w:rPr>
          <w:color w:val="auto"/>
        </w:rPr>
        <w:t>that was unbudgeted.</w:t>
      </w:r>
    </w:p>
    <w:p w:rsidR="00F97D4B" w:rsidRPr="00F60BBF" w:rsidRDefault="00F97D4B" w:rsidP="006F4377">
      <w:pPr>
        <w:pStyle w:val="ListParagraph"/>
        <w:numPr>
          <w:ilvl w:val="0"/>
          <w:numId w:val="13"/>
        </w:numPr>
        <w:tabs>
          <w:tab w:val="clear" w:pos="426"/>
        </w:tabs>
        <w:ind w:left="1134" w:hanging="425"/>
        <w:rPr>
          <w:color w:val="auto"/>
        </w:rPr>
      </w:pPr>
      <w:r w:rsidRPr="008B372B">
        <w:rPr>
          <w:color w:val="auto"/>
        </w:rPr>
        <w:t>Planning – the final outturn showed a favourable variance of £0.377 million following receipt of £0.23</w:t>
      </w:r>
      <w:r w:rsidRPr="00F60BBF">
        <w:rPr>
          <w:color w:val="auto"/>
        </w:rPr>
        <w:t>5million of SFC funding.</w:t>
      </w:r>
      <w:r w:rsidR="008B372B" w:rsidRPr="00F60BBF">
        <w:rPr>
          <w:color w:val="auto"/>
        </w:rPr>
        <w:t xml:space="preserve">  The net favourable variance in this area </w:t>
      </w:r>
      <w:r w:rsidR="00133FFA">
        <w:rPr>
          <w:color w:val="auto"/>
        </w:rPr>
        <w:t xml:space="preserve">arises from reduced </w:t>
      </w:r>
      <w:r w:rsidR="008B372B" w:rsidRPr="00F60BBF">
        <w:rPr>
          <w:color w:val="auto"/>
        </w:rPr>
        <w:t>planning income</w:t>
      </w:r>
      <w:r w:rsidR="004D3B4C">
        <w:rPr>
          <w:color w:val="auto"/>
        </w:rPr>
        <w:t>,</w:t>
      </w:r>
      <w:r w:rsidR="008B372B" w:rsidRPr="00F60BBF">
        <w:rPr>
          <w:color w:val="auto"/>
        </w:rPr>
        <w:t xml:space="preserve"> </w:t>
      </w:r>
      <w:r w:rsidR="00133FFA">
        <w:rPr>
          <w:color w:val="auto"/>
        </w:rPr>
        <w:t>net of salaries and training budget savings</w:t>
      </w:r>
      <w:r w:rsidR="004205AA">
        <w:rPr>
          <w:color w:val="auto"/>
        </w:rPr>
        <w:t>.</w:t>
      </w:r>
    </w:p>
    <w:p w:rsidR="00F97D4B" w:rsidRPr="00F60BBF" w:rsidRDefault="00F97D4B" w:rsidP="006F4377">
      <w:pPr>
        <w:pStyle w:val="ListParagraph"/>
        <w:numPr>
          <w:ilvl w:val="0"/>
          <w:numId w:val="13"/>
        </w:numPr>
        <w:tabs>
          <w:tab w:val="clear" w:pos="426"/>
        </w:tabs>
        <w:ind w:left="1134" w:hanging="425"/>
        <w:rPr>
          <w:color w:val="auto"/>
        </w:rPr>
      </w:pPr>
      <w:r w:rsidRPr="00F60BBF">
        <w:rPr>
          <w:color w:val="auto"/>
        </w:rPr>
        <w:t>Oxford Direct Services Client – final outturn showed £3.228 million adverse variance after receipt of £5.039 million of SFC funding</w:t>
      </w:r>
      <w:r w:rsidR="008B372B" w:rsidRPr="00F60BBF">
        <w:rPr>
          <w:color w:val="auto"/>
        </w:rPr>
        <w:t xml:space="preserve">.  Car parking gross loss of income </w:t>
      </w:r>
      <w:r w:rsidR="00133FFA">
        <w:rPr>
          <w:color w:val="auto"/>
        </w:rPr>
        <w:t xml:space="preserve">was </w:t>
      </w:r>
      <w:r w:rsidR="00471421">
        <w:rPr>
          <w:color w:val="auto"/>
        </w:rPr>
        <w:t>approximately</w:t>
      </w:r>
      <w:r w:rsidR="008B372B" w:rsidRPr="00F60BBF">
        <w:rPr>
          <w:color w:val="auto"/>
        </w:rPr>
        <w:t xml:space="preserve"> £4million</w:t>
      </w:r>
      <w:r w:rsidR="00AE5116">
        <w:rPr>
          <w:color w:val="auto"/>
        </w:rPr>
        <w:t>.</w:t>
      </w:r>
      <w:r w:rsidR="008B372B" w:rsidRPr="00F60BBF">
        <w:rPr>
          <w:color w:val="auto"/>
        </w:rPr>
        <w:t xml:space="preserve"> </w:t>
      </w:r>
      <w:r w:rsidR="00AE5116">
        <w:rPr>
          <w:color w:val="auto"/>
        </w:rPr>
        <w:t>I</w:t>
      </w:r>
      <w:r w:rsidR="00133FFA">
        <w:rPr>
          <w:color w:val="auto"/>
        </w:rPr>
        <w:t xml:space="preserve">n addition ODSL, the council’s wholly owned company were unable to make a dividend payment that had been </w:t>
      </w:r>
      <w:r w:rsidR="004205AA">
        <w:rPr>
          <w:color w:val="auto"/>
        </w:rPr>
        <w:t xml:space="preserve">revised to </w:t>
      </w:r>
      <w:r w:rsidR="00133FFA">
        <w:rPr>
          <w:color w:val="auto"/>
        </w:rPr>
        <w:t xml:space="preserve">£600k. </w:t>
      </w:r>
      <w:r w:rsidR="00471421">
        <w:rPr>
          <w:color w:val="auto"/>
        </w:rPr>
        <w:t xml:space="preserve">ODSL are considering the potential payment of some dividend to the Council at their Board meeting in July. </w:t>
      </w:r>
      <w:r w:rsidR="00C720C0">
        <w:rPr>
          <w:color w:val="auto"/>
        </w:rPr>
        <w:t>T</w:t>
      </w:r>
      <w:r w:rsidR="008B372B" w:rsidRPr="00F60BBF">
        <w:rPr>
          <w:color w:val="auto"/>
        </w:rPr>
        <w:t>hese losses of income along with additional unbudgeted costs associated with utilities, insurance and bad debt provision were offset by the receipt of SFC funding.</w:t>
      </w:r>
    </w:p>
    <w:p w:rsidR="00F97D4B" w:rsidRDefault="00F97D4B" w:rsidP="006F4377">
      <w:pPr>
        <w:pStyle w:val="ListParagraph"/>
        <w:numPr>
          <w:ilvl w:val="0"/>
          <w:numId w:val="13"/>
        </w:numPr>
        <w:tabs>
          <w:tab w:val="clear" w:pos="426"/>
        </w:tabs>
        <w:ind w:left="1134" w:hanging="425"/>
        <w:rPr>
          <w:color w:val="auto"/>
        </w:rPr>
      </w:pPr>
      <w:r w:rsidRPr="00F60BBF">
        <w:rPr>
          <w:color w:val="auto"/>
        </w:rPr>
        <w:t>Business Improvement – a final adverse out</w:t>
      </w:r>
      <w:r w:rsidR="008B372B" w:rsidRPr="00F60BBF">
        <w:rPr>
          <w:color w:val="auto"/>
        </w:rPr>
        <w:t xml:space="preserve">turn position of £0.294 million due to </w:t>
      </w:r>
      <w:r w:rsidR="00F60BBF" w:rsidRPr="00F60BBF">
        <w:rPr>
          <w:color w:val="auto"/>
        </w:rPr>
        <w:t xml:space="preserve">additional staffing costs; additional telephony </w:t>
      </w:r>
      <w:r w:rsidR="005139CE">
        <w:rPr>
          <w:color w:val="auto"/>
        </w:rPr>
        <w:t xml:space="preserve">costs </w:t>
      </w:r>
      <w:r w:rsidR="00471421">
        <w:rPr>
          <w:color w:val="auto"/>
        </w:rPr>
        <w:t xml:space="preserve">due to increased </w:t>
      </w:r>
      <w:r w:rsidR="00F60BBF" w:rsidRPr="00F60BBF">
        <w:rPr>
          <w:color w:val="auto"/>
        </w:rPr>
        <w:t xml:space="preserve">working from home; </w:t>
      </w:r>
      <w:r w:rsidR="005139CE">
        <w:rPr>
          <w:color w:val="auto"/>
        </w:rPr>
        <w:t xml:space="preserve">increased </w:t>
      </w:r>
      <w:r w:rsidR="00F60BBF" w:rsidRPr="00F60BBF">
        <w:rPr>
          <w:color w:val="auto"/>
        </w:rPr>
        <w:t>data storage costs over and above the contract due to increased use of Teams and email storage</w:t>
      </w:r>
      <w:r w:rsidR="00B515F2">
        <w:rPr>
          <w:color w:val="auto"/>
        </w:rPr>
        <w:t>; and</w:t>
      </w:r>
      <w:r w:rsidR="00F60BBF" w:rsidRPr="00F60BBF">
        <w:rPr>
          <w:color w:val="auto"/>
        </w:rPr>
        <w:t xml:space="preserve"> additional </w:t>
      </w:r>
      <w:r w:rsidR="00F60BBF" w:rsidRPr="00F60BBF">
        <w:rPr>
          <w:color w:val="auto"/>
        </w:rPr>
        <w:lastRenderedPageBreak/>
        <w:t xml:space="preserve">servers </w:t>
      </w:r>
      <w:r w:rsidR="00471421">
        <w:rPr>
          <w:color w:val="auto"/>
        </w:rPr>
        <w:t>to increased speed of processing in a remote environment</w:t>
      </w:r>
      <w:r w:rsidR="00B515F2">
        <w:rPr>
          <w:color w:val="auto"/>
        </w:rPr>
        <w:t>. S</w:t>
      </w:r>
      <w:r w:rsidR="00F60BBF" w:rsidRPr="00F60BBF">
        <w:rPr>
          <w:color w:val="auto"/>
        </w:rPr>
        <w:t>ome of these additional costs were offset by savings in training and staff offers budgets and some savings in the people strategy budget.</w:t>
      </w:r>
    </w:p>
    <w:p w:rsidR="004205AA" w:rsidRDefault="004205AA" w:rsidP="006F4377">
      <w:pPr>
        <w:pStyle w:val="ListParagraph"/>
        <w:numPr>
          <w:ilvl w:val="0"/>
          <w:numId w:val="13"/>
        </w:numPr>
        <w:tabs>
          <w:tab w:val="clear" w:pos="426"/>
        </w:tabs>
        <w:ind w:left="1134" w:hanging="425"/>
        <w:rPr>
          <w:color w:val="auto"/>
        </w:rPr>
      </w:pPr>
      <w:r>
        <w:rPr>
          <w:color w:val="auto"/>
        </w:rPr>
        <w:t>Financial Services – a final adverse variance of £0.091 million which is due to reduced court income during the year as court proceedings were not undertaken during COVID 19.</w:t>
      </w:r>
    </w:p>
    <w:p w:rsidR="0062626A" w:rsidRDefault="00156074" w:rsidP="0062626A">
      <w:pPr>
        <w:pStyle w:val="ListParagraph"/>
        <w:numPr>
          <w:ilvl w:val="0"/>
          <w:numId w:val="0"/>
        </w:numPr>
        <w:tabs>
          <w:tab w:val="clear" w:pos="426"/>
        </w:tabs>
        <w:ind w:left="786"/>
        <w:rPr>
          <w:b/>
        </w:rPr>
      </w:pPr>
      <w:r w:rsidRPr="006F4377">
        <w:rPr>
          <w:rFonts w:eastAsia="Calibri"/>
          <w:b/>
        </w:rPr>
        <w:t>Corporate Accounts</w:t>
      </w:r>
      <w:r w:rsidR="00EB3453" w:rsidRPr="006F4377">
        <w:rPr>
          <w:rFonts w:eastAsia="Calibri"/>
          <w:b/>
        </w:rPr>
        <w:t>,</w:t>
      </w:r>
      <w:r w:rsidR="005417BF" w:rsidRPr="006F4377">
        <w:rPr>
          <w:rFonts w:eastAsia="Calibri"/>
          <w:b/>
        </w:rPr>
        <w:t xml:space="preserve"> </w:t>
      </w:r>
      <w:r w:rsidRPr="006F4377">
        <w:rPr>
          <w:rFonts w:eastAsia="Calibri"/>
          <w:b/>
        </w:rPr>
        <w:t xml:space="preserve">Contingencies </w:t>
      </w:r>
      <w:r w:rsidR="00EB3453" w:rsidRPr="006F4377">
        <w:rPr>
          <w:rFonts w:eastAsia="Calibri"/>
          <w:b/>
        </w:rPr>
        <w:t>and Funding</w:t>
      </w:r>
    </w:p>
    <w:p w:rsidR="00F571F9" w:rsidRPr="0062626A" w:rsidRDefault="0062626A" w:rsidP="0062626A">
      <w:pPr>
        <w:pStyle w:val="ListParagraph"/>
        <w:numPr>
          <w:ilvl w:val="0"/>
          <w:numId w:val="0"/>
        </w:numPr>
        <w:tabs>
          <w:tab w:val="clear" w:pos="426"/>
        </w:tabs>
        <w:ind w:left="786" w:hanging="786"/>
        <w:rPr>
          <w:b/>
        </w:rPr>
      </w:pPr>
      <w:r>
        <w:rPr>
          <w:b/>
        </w:rPr>
        <w:t>11</w:t>
      </w:r>
      <w:r>
        <w:rPr>
          <w:b/>
        </w:rPr>
        <w:tab/>
      </w:r>
      <w:r w:rsidR="00F60BBF" w:rsidRPr="00F60BBF">
        <w:t xml:space="preserve">An overall net favourable variance of £0.376 million shown on </w:t>
      </w:r>
      <w:r w:rsidR="00614AE0" w:rsidRPr="00F60BBF">
        <w:t xml:space="preserve">Corporate Accounts </w:t>
      </w:r>
      <w:r w:rsidR="00F60BBF" w:rsidRPr="00F60BBF">
        <w:t>and contingencies are explained below:</w:t>
      </w:r>
    </w:p>
    <w:p w:rsidR="00F60BBF" w:rsidRPr="00F60BBF" w:rsidRDefault="00F60BBF" w:rsidP="006F4377">
      <w:pPr>
        <w:pStyle w:val="ListParagraph"/>
        <w:numPr>
          <w:ilvl w:val="0"/>
          <w:numId w:val="10"/>
        </w:numPr>
        <w:ind w:left="1418" w:hanging="567"/>
        <w:rPr>
          <w:color w:val="auto"/>
        </w:rPr>
      </w:pPr>
      <w:r w:rsidRPr="00F60BBF">
        <w:rPr>
          <w:b/>
          <w:color w:val="auto"/>
        </w:rPr>
        <w:t>Local Cost of Benefits</w:t>
      </w:r>
      <w:r w:rsidRPr="00F60BBF">
        <w:rPr>
          <w:color w:val="auto"/>
        </w:rPr>
        <w:t xml:space="preserve"> – adverse variance of £0.849 million, </w:t>
      </w:r>
      <w:r w:rsidR="00C946F9">
        <w:rPr>
          <w:color w:val="auto"/>
        </w:rPr>
        <w:t>arising from loss of subsidy due to local authority error of around £350k (0.5% of total spend) and a reduction in overpayment income raised compared to last year, due to increases in benefit entitlement and reduced ability to collect arrears, all in relation to COVID 19.</w:t>
      </w:r>
    </w:p>
    <w:p w:rsidR="002E704C" w:rsidRPr="00F60BBF" w:rsidRDefault="002E704C" w:rsidP="006F4377">
      <w:pPr>
        <w:pStyle w:val="ListParagraph"/>
        <w:numPr>
          <w:ilvl w:val="0"/>
          <w:numId w:val="10"/>
        </w:numPr>
        <w:ind w:left="1418" w:hanging="567"/>
        <w:rPr>
          <w:color w:val="auto"/>
        </w:rPr>
      </w:pPr>
      <w:r w:rsidRPr="00F60BBF">
        <w:rPr>
          <w:b/>
          <w:bCs/>
          <w:color w:val="auto"/>
        </w:rPr>
        <w:t xml:space="preserve">Interest Payable </w:t>
      </w:r>
      <w:r w:rsidRPr="00F60BBF">
        <w:rPr>
          <w:color w:val="auto"/>
        </w:rPr>
        <w:t>- £0.</w:t>
      </w:r>
      <w:r w:rsidR="00F60BBF" w:rsidRPr="00F60BBF">
        <w:rPr>
          <w:color w:val="auto"/>
        </w:rPr>
        <w:t>959</w:t>
      </w:r>
      <w:r w:rsidRPr="00F60BBF">
        <w:rPr>
          <w:color w:val="auto"/>
        </w:rPr>
        <w:t xml:space="preserve"> million favourable due to a reduction in borrowing taken out to fund the capital programme</w:t>
      </w:r>
      <w:r w:rsidR="00F70883">
        <w:rPr>
          <w:color w:val="auto"/>
        </w:rPr>
        <w:t xml:space="preserve"> mainly arising from slippage of schemes</w:t>
      </w:r>
      <w:r w:rsidRPr="00F60BBF">
        <w:rPr>
          <w:color w:val="auto"/>
        </w:rPr>
        <w:t>;</w:t>
      </w:r>
    </w:p>
    <w:p w:rsidR="002E704C" w:rsidRPr="00F60BBF" w:rsidRDefault="002E704C" w:rsidP="006F4377">
      <w:pPr>
        <w:pStyle w:val="ListParagraph"/>
        <w:numPr>
          <w:ilvl w:val="0"/>
          <w:numId w:val="10"/>
        </w:numPr>
        <w:ind w:left="1418" w:hanging="567"/>
        <w:rPr>
          <w:color w:val="auto"/>
        </w:rPr>
      </w:pPr>
      <w:r w:rsidRPr="00F60BBF">
        <w:rPr>
          <w:b/>
          <w:bCs/>
          <w:color w:val="auto"/>
        </w:rPr>
        <w:t xml:space="preserve">Investment Income </w:t>
      </w:r>
      <w:r w:rsidR="00F60BBF" w:rsidRPr="00F60BBF">
        <w:rPr>
          <w:color w:val="auto"/>
        </w:rPr>
        <w:t>- £0.555</w:t>
      </w:r>
      <w:r w:rsidRPr="00F60BBF">
        <w:rPr>
          <w:color w:val="auto"/>
        </w:rPr>
        <w:t xml:space="preserve"> million </w:t>
      </w:r>
      <w:r w:rsidR="00F60BBF" w:rsidRPr="00F60BBF">
        <w:rPr>
          <w:color w:val="auto"/>
        </w:rPr>
        <w:t>adverse</w:t>
      </w:r>
      <w:r w:rsidRPr="00F60BBF">
        <w:rPr>
          <w:color w:val="auto"/>
        </w:rPr>
        <w:t xml:space="preserve"> variance, </w:t>
      </w:r>
      <w:r w:rsidR="00F60BBF" w:rsidRPr="00F60BBF">
        <w:rPr>
          <w:color w:val="auto"/>
        </w:rPr>
        <w:t>due to less income and therefore less cash flow to invest</w:t>
      </w:r>
      <w:r w:rsidR="00F70883">
        <w:rPr>
          <w:color w:val="auto"/>
        </w:rPr>
        <w:t xml:space="preserve"> and low base rates at 0.1%</w:t>
      </w:r>
      <w:r w:rsidRPr="00F60BBF">
        <w:rPr>
          <w:color w:val="auto"/>
        </w:rPr>
        <w:t>;</w:t>
      </w:r>
    </w:p>
    <w:p w:rsidR="002E704C" w:rsidRPr="00F60BBF" w:rsidRDefault="002E704C" w:rsidP="006F4377">
      <w:pPr>
        <w:pStyle w:val="ListParagraph"/>
        <w:numPr>
          <w:ilvl w:val="0"/>
          <w:numId w:val="10"/>
        </w:numPr>
        <w:ind w:left="1418" w:hanging="567"/>
        <w:rPr>
          <w:color w:val="auto"/>
        </w:rPr>
      </w:pPr>
      <w:r w:rsidRPr="00F60BBF">
        <w:rPr>
          <w:b/>
          <w:color w:val="auto"/>
        </w:rPr>
        <w:t>Direct Revenue Funding</w:t>
      </w:r>
      <w:r w:rsidRPr="00F60BBF">
        <w:rPr>
          <w:color w:val="auto"/>
        </w:rPr>
        <w:t xml:space="preserve"> - £0.</w:t>
      </w:r>
      <w:r w:rsidR="00F60BBF" w:rsidRPr="00F60BBF">
        <w:rPr>
          <w:color w:val="auto"/>
        </w:rPr>
        <w:t>995</w:t>
      </w:r>
      <w:r w:rsidRPr="00F60BBF">
        <w:rPr>
          <w:color w:val="auto"/>
        </w:rPr>
        <w:t xml:space="preserve"> million favourable variance arising from the changes to the financing of capital expenditure to maximise the council</w:t>
      </w:r>
      <w:r w:rsidR="00D132E5" w:rsidRPr="00F60BBF">
        <w:rPr>
          <w:color w:val="auto"/>
        </w:rPr>
        <w:t>’</w:t>
      </w:r>
      <w:r w:rsidRPr="00F60BBF">
        <w:rPr>
          <w:color w:val="auto"/>
        </w:rPr>
        <w:t xml:space="preserve">s </w:t>
      </w:r>
      <w:r w:rsidR="00F70883">
        <w:rPr>
          <w:color w:val="auto"/>
        </w:rPr>
        <w:t>revenue position</w:t>
      </w:r>
      <w:r w:rsidRPr="00F60BBF">
        <w:rPr>
          <w:color w:val="auto"/>
        </w:rPr>
        <w:t>;</w:t>
      </w:r>
    </w:p>
    <w:p w:rsidR="002E704C" w:rsidRPr="00F60BBF" w:rsidRDefault="002E704C" w:rsidP="006F4377">
      <w:pPr>
        <w:pStyle w:val="ListParagraph"/>
        <w:numPr>
          <w:ilvl w:val="0"/>
          <w:numId w:val="10"/>
        </w:numPr>
        <w:ind w:left="1418" w:hanging="567"/>
        <w:rPr>
          <w:color w:val="auto"/>
        </w:rPr>
      </w:pPr>
      <w:r w:rsidRPr="00F60BBF">
        <w:rPr>
          <w:b/>
          <w:color w:val="auto"/>
        </w:rPr>
        <w:t>Contingencies</w:t>
      </w:r>
      <w:r w:rsidRPr="00F60BBF">
        <w:rPr>
          <w:color w:val="auto"/>
        </w:rPr>
        <w:t xml:space="preserve"> - £0.181 million favourable variance where contingencies set aside for unachieved savings have not been applied;</w:t>
      </w:r>
    </w:p>
    <w:p w:rsidR="002E704C" w:rsidRPr="00B1310E" w:rsidRDefault="002E704C" w:rsidP="006F4377">
      <w:pPr>
        <w:pStyle w:val="ListParagraph"/>
        <w:numPr>
          <w:ilvl w:val="0"/>
          <w:numId w:val="10"/>
        </w:numPr>
        <w:ind w:left="1418" w:hanging="567"/>
        <w:rPr>
          <w:color w:val="FF0000"/>
        </w:rPr>
      </w:pPr>
      <w:r w:rsidRPr="00F60BBF">
        <w:rPr>
          <w:b/>
          <w:color w:val="auto"/>
        </w:rPr>
        <w:t xml:space="preserve">Funding </w:t>
      </w:r>
      <w:r w:rsidR="00F60BBF" w:rsidRPr="00F60BBF">
        <w:rPr>
          <w:color w:val="auto"/>
        </w:rPr>
        <w:t xml:space="preserve">- £2.464 </w:t>
      </w:r>
      <w:r w:rsidRPr="00F60BBF">
        <w:rPr>
          <w:color w:val="auto"/>
        </w:rPr>
        <w:t xml:space="preserve">million favourable variance </w:t>
      </w:r>
      <w:r w:rsidR="00F60BBF" w:rsidRPr="00F60BBF">
        <w:rPr>
          <w:color w:val="auto"/>
        </w:rPr>
        <w:t xml:space="preserve">relating to </w:t>
      </w:r>
      <w:r w:rsidR="003C3B62">
        <w:rPr>
          <w:color w:val="auto"/>
        </w:rPr>
        <w:t>e</w:t>
      </w:r>
      <w:r w:rsidR="00F60BBF" w:rsidRPr="00F60BBF">
        <w:rPr>
          <w:color w:val="auto"/>
        </w:rPr>
        <w:t xml:space="preserve">xternal funding is </w:t>
      </w:r>
      <w:r w:rsidRPr="00F60BBF">
        <w:rPr>
          <w:color w:val="auto"/>
        </w:rPr>
        <w:t>mainly due to additiona</w:t>
      </w:r>
      <w:r w:rsidR="00F60BBF" w:rsidRPr="00F60BBF">
        <w:rPr>
          <w:color w:val="auto"/>
        </w:rPr>
        <w:t xml:space="preserve">l income received in year from Government relating to </w:t>
      </w:r>
      <w:r w:rsidR="00713241">
        <w:rPr>
          <w:color w:val="auto"/>
        </w:rPr>
        <w:t xml:space="preserve">LA </w:t>
      </w:r>
      <w:r w:rsidR="00F60BBF" w:rsidRPr="00F60BBF">
        <w:rPr>
          <w:color w:val="auto"/>
        </w:rPr>
        <w:t xml:space="preserve">COVID </w:t>
      </w:r>
      <w:r w:rsidR="00713241">
        <w:rPr>
          <w:color w:val="auto"/>
        </w:rPr>
        <w:t xml:space="preserve">emergency </w:t>
      </w:r>
      <w:r w:rsidR="00F60BBF" w:rsidRPr="00F60BBF">
        <w:rPr>
          <w:color w:val="auto"/>
        </w:rPr>
        <w:t>grants.  These grants are non</w:t>
      </w:r>
      <w:r w:rsidR="003C3B62">
        <w:rPr>
          <w:color w:val="auto"/>
        </w:rPr>
        <w:t>-</w:t>
      </w:r>
      <w:r w:rsidR="00F60BBF" w:rsidRPr="00F60BBF">
        <w:rPr>
          <w:color w:val="auto"/>
        </w:rPr>
        <w:t>specific and can be used to fund pressures across all areas and therefore have been allocated to this section of the accounts</w:t>
      </w:r>
      <w:r w:rsidR="008C36DE" w:rsidRPr="00B1310E">
        <w:rPr>
          <w:color w:val="FF0000"/>
        </w:rPr>
        <w:t>.</w:t>
      </w:r>
    </w:p>
    <w:p w:rsidR="002E704C" w:rsidRPr="00B1310E" w:rsidRDefault="002E704C" w:rsidP="002E704C">
      <w:pPr>
        <w:ind w:left="360" w:hanging="360"/>
        <w:rPr>
          <w:color w:val="FF0000"/>
        </w:rPr>
      </w:pPr>
    </w:p>
    <w:p w:rsidR="002E704C" w:rsidRPr="006F4377" w:rsidRDefault="002E704C" w:rsidP="0062626A">
      <w:pPr>
        <w:pStyle w:val="ListParagraph"/>
        <w:numPr>
          <w:ilvl w:val="0"/>
          <w:numId w:val="0"/>
        </w:numPr>
        <w:ind w:left="786"/>
        <w:rPr>
          <w:b/>
        </w:rPr>
      </w:pPr>
      <w:r w:rsidRPr="006F4377">
        <w:rPr>
          <w:b/>
        </w:rPr>
        <w:t>Company Financial positions</w:t>
      </w:r>
    </w:p>
    <w:p w:rsidR="002E704C" w:rsidRPr="0062626A" w:rsidRDefault="002E704C" w:rsidP="0062626A">
      <w:pPr>
        <w:pStyle w:val="ListParagraph"/>
        <w:numPr>
          <w:ilvl w:val="0"/>
          <w:numId w:val="33"/>
        </w:numPr>
        <w:tabs>
          <w:tab w:val="clear" w:pos="426"/>
        </w:tabs>
        <w:ind w:hanging="644"/>
        <w:rPr>
          <w:color w:val="auto"/>
        </w:rPr>
      </w:pPr>
      <w:r w:rsidRPr="0062626A">
        <w:rPr>
          <w:color w:val="auto"/>
        </w:rPr>
        <w:t>The Council has five wholly owned companies, Oxford Direct Services Ltd (ODSL), Oxford Direct Services Trading Ltd (ODSTL), Oxford City Housing Development Ltd (OCH</w:t>
      </w:r>
      <w:r w:rsidR="002F4BF3" w:rsidRPr="0062626A">
        <w:rPr>
          <w:color w:val="auto"/>
        </w:rPr>
        <w:t>(D)</w:t>
      </w:r>
      <w:r w:rsidRPr="0062626A">
        <w:rPr>
          <w:color w:val="auto"/>
        </w:rPr>
        <w:t>L), Oxford City Housing Investment Ltd (OCH</w:t>
      </w:r>
      <w:r w:rsidR="002F4BF3" w:rsidRPr="0062626A">
        <w:rPr>
          <w:color w:val="auto"/>
        </w:rPr>
        <w:t>(I)</w:t>
      </w:r>
      <w:r w:rsidRPr="0062626A">
        <w:rPr>
          <w:color w:val="auto"/>
        </w:rPr>
        <w:t xml:space="preserve">L) and </w:t>
      </w:r>
      <w:r w:rsidR="00C8301E" w:rsidRPr="0062626A">
        <w:rPr>
          <w:color w:val="auto"/>
        </w:rPr>
        <w:t>Holding C</w:t>
      </w:r>
      <w:r w:rsidR="002F4BF3" w:rsidRPr="0062626A">
        <w:rPr>
          <w:color w:val="auto"/>
        </w:rPr>
        <w:t xml:space="preserve">ompany </w:t>
      </w:r>
      <w:r w:rsidRPr="0062626A">
        <w:rPr>
          <w:color w:val="auto"/>
        </w:rPr>
        <w:t>Oxford City Housing Ltd (OCHL</w:t>
      </w:r>
      <w:r w:rsidR="00C8301E" w:rsidRPr="0062626A">
        <w:rPr>
          <w:color w:val="auto"/>
        </w:rPr>
        <w:t xml:space="preserve">) </w:t>
      </w:r>
      <w:r w:rsidRPr="0062626A">
        <w:rPr>
          <w:color w:val="auto"/>
        </w:rPr>
        <w:t xml:space="preserve"> a </w:t>
      </w:r>
      <w:r w:rsidR="00FA171C" w:rsidRPr="0062626A">
        <w:rPr>
          <w:color w:val="auto"/>
        </w:rPr>
        <w:t xml:space="preserve">50/50 </w:t>
      </w:r>
      <w:r w:rsidRPr="0062626A">
        <w:rPr>
          <w:color w:val="auto"/>
        </w:rPr>
        <w:t>joint venture, Oxford West End Development Ltd (</w:t>
      </w:r>
      <w:proofErr w:type="spellStart"/>
      <w:r w:rsidRPr="0062626A">
        <w:rPr>
          <w:color w:val="auto"/>
        </w:rPr>
        <w:t>OxWed</w:t>
      </w:r>
      <w:proofErr w:type="spellEnd"/>
      <w:r w:rsidRPr="0062626A">
        <w:rPr>
          <w:color w:val="auto"/>
        </w:rPr>
        <w:t>)</w:t>
      </w:r>
      <w:r w:rsidR="00FA171C" w:rsidRPr="0062626A">
        <w:rPr>
          <w:color w:val="auto"/>
        </w:rPr>
        <w:t xml:space="preserve"> and a 50% share in Barton LLP</w:t>
      </w:r>
    </w:p>
    <w:p w:rsidR="00B62884" w:rsidRPr="00763928" w:rsidRDefault="007A5D71" w:rsidP="00F469EE">
      <w:pPr>
        <w:pStyle w:val="ListParagraph"/>
        <w:tabs>
          <w:tab w:val="clear" w:pos="426"/>
        </w:tabs>
        <w:ind w:left="851" w:hanging="709"/>
        <w:rPr>
          <w:color w:val="auto"/>
        </w:rPr>
      </w:pPr>
      <w:r w:rsidRPr="00763928">
        <w:rPr>
          <w:color w:val="auto"/>
        </w:rPr>
        <w:t>O</w:t>
      </w:r>
      <w:r w:rsidR="002E704C" w:rsidRPr="00763928">
        <w:rPr>
          <w:color w:val="auto"/>
        </w:rPr>
        <w:t>D</w:t>
      </w:r>
      <w:r w:rsidRPr="00763928">
        <w:rPr>
          <w:color w:val="auto"/>
        </w:rPr>
        <w:t>S</w:t>
      </w:r>
      <w:r w:rsidR="002E704C" w:rsidRPr="00763928">
        <w:rPr>
          <w:color w:val="auto"/>
        </w:rPr>
        <w:t>L</w:t>
      </w:r>
      <w:r w:rsidRPr="00763928">
        <w:rPr>
          <w:color w:val="auto"/>
        </w:rPr>
        <w:t xml:space="preserve"> made a </w:t>
      </w:r>
      <w:r w:rsidR="00FA171C">
        <w:rPr>
          <w:color w:val="auto"/>
        </w:rPr>
        <w:t xml:space="preserve">small </w:t>
      </w:r>
      <w:r w:rsidRPr="00763928">
        <w:rPr>
          <w:color w:val="auto"/>
        </w:rPr>
        <w:t xml:space="preserve">loss </w:t>
      </w:r>
      <w:r w:rsidR="00FA171C">
        <w:rPr>
          <w:color w:val="auto"/>
        </w:rPr>
        <w:t xml:space="preserve">of £156k </w:t>
      </w:r>
      <w:r w:rsidRPr="00763928">
        <w:rPr>
          <w:color w:val="auto"/>
        </w:rPr>
        <w:t>in 2020/21</w:t>
      </w:r>
      <w:r w:rsidR="002E704C" w:rsidRPr="00763928">
        <w:rPr>
          <w:color w:val="auto"/>
        </w:rPr>
        <w:t xml:space="preserve"> </w:t>
      </w:r>
      <w:r w:rsidR="00B62884" w:rsidRPr="00763928">
        <w:rPr>
          <w:color w:val="auto"/>
        </w:rPr>
        <w:t xml:space="preserve">due </w:t>
      </w:r>
      <w:r w:rsidR="00FA171C">
        <w:rPr>
          <w:color w:val="auto"/>
        </w:rPr>
        <w:t xml:space="preserve">mainly </w:t>
      </w:r>
      <w:r w:rsidR="00B62884" w:rsidRPr="00763928">
        <w:rPr>
          <w:color w:val="auto"/>
        </w:rPr>
        <w:t>to a decline in income which was heavily affected by COVID 19 as they were unable to enter tenant’s homes and carry out planned maintenance and repairs.</w:t>
      </w:r>
    </w:p>
    <w:p w:rsidR="00FA171C" w:rsidRDefault="002E704C" w:rsidP="00F469EE">
      <w:pPr>
        <w:pStyle w:val="ListParagraph"/>
        <w:tabs>
          <w:tab w:val="clear" w:pos="426"/>
        </w:tabs>
        <w:ind w:left="851" w:hanging="709"/>
        <w:rPr>
          <w:color w:val="auto"/>
        </w:rPr>
      </w:pPr>
      <w:r w:rsidRPr="00763928">
        <w:rPr>
          <w:color w:val="auto"/>
        </w:rPr>
        <w:t xml:space="preserve">ODSTL made a </w:t>
      </w:r>
      <w:r w:rsidR="007A5D71" w:rsidRPr="00763928">
        <w:rPr>
          <w:color w:val="auto"/>
        </w:rPr>
        <w:t xml:space="preserve">small </w:t>
      </w:r>
      <w:r w:rsidRPr="00763928">
        <w:rPr>
          <w:color w:val="auto"/>
        </w:rPr>
        <w:t>surplus</w:t>
      </w:r>
      <w:r w:rsidR="00B62884" w:rsidRPr="00763928">
        <w:rPr>
          <w:color w:val="auto"/>
        </w:rPr>
        <w:t xml:space="preserve"> in 2020/21</w:t>
      </w:r>
      <w:r w:rsidR="00FA171C">
        <w:rPr>
          <w:color w:val="auto"/>
        </w:rPr>
        <w:t xml:space="preserve"> of £128k </w:t>
      </w:r>
    </w:p>
    <w:p w:rsidR="002E704C" w:rsidRPr="00763928" w:rsidRDefault="00FA171C" w:rsidP="00F469EE">
      <w:pPr>
        <w:pStyle w:val="ListParagraph"/>
        <w:tabs>
          <w:tab w:val="clear" w:pos="426"/>
        </w:tabs>
        <w:ind w:left="851" w:hanging="709"/>
        <w:rPr>
          <w:color w:val="auto"/>
        </w:rPr>
      </w:pPr>
      <w:r>
        <w:rPr>
          <w:color w:val="auto"/>
        </w:rPr>
        <w:t>Due to the overall loss of ODS companies no dividend was paid to the Council although this position will be considered in 2021-22</w:t>
      </w:r>
      <w:r w:rsidR="002E704C" w:rsidRPr="00763928">
        <w:rPr>
          <w:color w:val="auto"/>
        </w:rPr>
        <w:t xml:space="preserve">  </w:t>
      </w:r>
    </w:p>
    <w:p w:rsidR="002E704C" w:rsidRPr="00763928" w:rsidRDefault="002E704C" w:rsidP="00F469EE">
      <w:pPr>
        <w:pStyle w:val="ListParagraph"/>
        <w:tabs>
          <w:tab w:val="clear" w:pos="426"/>
        </w:tabs>
        <w:ind w:left="851" w:hanging="709"/>
        <w:rPr>
          <w:color w:val="auto"/>
        </w:rPr>
      </w:pPr>
      <w:r w:rsidRPr="00763928">
        <w:rPr>
          <w:color w:val="auto"/>
        </w:rPr>
        <w:lastRenderedPageBreak/>
        <w:t>OCHL group made an operating loss of £0.</w:t>
      </w:r>
      <w:r w:rsidR="00454B18" w:rsidRPr="00763928">
        <w:rPr>
          <w:color w:val="auto"/>
        </w:rPr>
        <w:t>439</w:t>
      </w:r>
      <w:r w:rsidRPr="00763928">
        <w:rPr>
          <w:color w:val="auto"/>
        </w:rPr>
        <w:t xml:space="preserve"> million for the year 20</w:t>
      </w:r>
      <w:r w:rsidR="00454B18" w:rsidRPr="00763928">
        <w:rPr>
          <w:color w:val="auto"/>
        </w:rPr>
        <w:t>20</w:t>
      </w:r>
      <w:r w:rsidRPr="00763928">
        <w:rPr>
          <w:color w:val="auto"/>
        </w:rPr>
        <w:t>/2</w:t>
      </w:r>
      <w:r w:rsidR="00454B18" w:rsidRPr="00763928">
        <w:rPr>
          <w:color w:val="auto"/>
        </w:rPr>
        <w:t>1 due to delay</w:t>
      </w:r>
      <w:r w:rsidR="0029717F" w:rsidRPr="00763928">
        <w:rPr>
          <w:color w:val="auto"/>
        </w:rPr>
        <w:t>s</w:t>
      </w:r>
      <w:r w:rsidR="00454B18" w:rsidRPr="00763928">
        <w:rPr>
          <w:color w:val="auto"/>
        </w:rPr>
        <w:t xml:space="preserve"> in development</w:t>
      </w:r>
      <w:r w:rsidR="0029717F" w:rsidRPr="00763928">
        <w:rPr>
          <w:color w:val="auto"/>
        </w:rPr>
        <w:t>, meaning costs incurred in year but developments not concluded therefore no sales proceeds received.</w:t>
      </w:r>
    </w:p>
    <w:p w:rsidR="002E704C" w:rsidRPr="00763928" w:rsidRDefault="002E704C" w:rsidP="00F469EE">
      <w:pPr>
        <w:pStyle w:val="ListParagraph"/>
        <w:tabs>
          <w:tab w:val="clear" w:pos="426"/>
        </w:tabs>
        <w:ind w:left="851" w:hanging="709"/>
        <w:rPr>
          <w:color w:val="auto"/>
        </w:rPr>
      </w:pPr>
      <w:proofErr w:type="spellStart"/>
      <w:r w:rsidRPr="00763928">
        <w:rPr>
          <w:color w:val="auto"/>
        </w:rPr>
        <w:t>OxWed</w:t>
      </w:r>
      <w:proofErr w:type="spellEnd"/>
      <w:r w:rsidRPr="00763928">
        <w:rPr>
          <w:color w:val="auto"/>
        </w:rPr>
        <w:t xml:space="preserve"> made an operating </w:t>
      </w:r>
      <w:r w:rsidR="007A5D71" w:rsidRPr="00763928">
        <w:rPr>
          <w:color w:val="auto"/>
        </w:rPr>
        <w:t xml:space="preserve">loss before tax </w:t>
      </w:r>
      <w:r w:rsidRPr="00763928">
        <w:rPr>
          <w:color w:val="auto"/>
        </w:rPr>
        <w:t>of £</w:t>
      </w:r>
      <w:r w:rsidR="007A5D71" w:rsidRPr="00763928">
        <w:rPr>
          <w:color w:val="auto"/>
        </w:rPr>
        <w:t>2.337</w:t>
      </w:r>
      <w:r w:rsidRPr="00763928">
        <w:rPr>
          <w:color w:val="auto"/>
        </w:rPr>
        <w:t xml:space="preserve"> million due to financing costs</w:t>
      </w:r>
      <w:r w:rsidR="002F4BF3" w:rsidRPr="00763928">
        <w:rPr>
          <w:color w:val="auto"/>
        </w:rPr>
        <w:t xml:space="preserve"> in servicing the loans from the shareholders mainly in respect of land assembly</w:t>
      </w:r>
      <w:r w:rsidR="00B20DCF" w:rsidRPr="00763928">
        <w:rPr>
          <w:color w:val="auto"/>
        </w:rPr>
        <w:t xml:space="preserve"> and additional administrative expenses</w:t>
      </w:r>
      <w:r w:rsidR="00C8301E" w:rsidRPr="00763928">
        <w:rPr>
          <w:color w:val="auto"/>
        </w:rPr>
        <w:t xml:space="preserve">.  </w:t>
      </w:r>
      <w:r w:rsidR="002F4BF3" w:rsidRPr="00763928">
        <w:rPr>
          <w:color w:val="auto"/>
        </w:rPr>
        <w:t xml:space="preserve">The company is currently working on the approach to bring the site forward for development. </w:t>
      </w:r>
    </w:p>
    <w:p w:rsidR="00695DEE" w:rsidRPr="00763928" w:rsidRDefault="00695DEE" w:rsidP="00695DEE">
      <w:pPr>
        <w:ind w:left="426"/>
        <w:rPr>
          <w:color w:val="auto"/>
        </w:rPr>
      </w:pPr>
    </w:p>
    <w:p w:rsidR="005417BF" w:rsidRPr="00F469EE" w:rsidRDefault="00156074" w:rsidP="0062626A">
      <w:pPr>
        <w:pStyle w:val="ListParagraph"/>
        <w:numPr>
          <w:ilvl w:val="0"/>
          <w:numId w:val="0"/>
        </w:numPr>
        <w:ind w:left="786"/>
        <w:rPr>
          <w:b/>
        </w:rPr>
      </w:pPr>
      <w:r w:rsidRPr="00F469EE">
        <w:rPr>
          <w:b/>
        </w:rPr>
        <w:t>Housing Revenue Account</w:t>
      </w:r>
    </w:p>
    <w:p w:rsidR="00EB068A" w:rsidRPr="00763928" w:rsidRDefault="00536537" w:rsidP="00F469EE">
      <w:pPr>
        <w:pStyle w:val="ListParagraph"/>
        <w:tabs>
          <w:tab w:val="clear" w:pos="426"/>
        </w:tabs>
        <w:ind w:left="851" w:hanging="709"/>
        <w:rPr>
          <w:color w:val="auto"/>
        </w:rPr>
      </w:pPr>
      <w:r w:rsidRPr="00763928">
        <w:rPr>
          <w:color w:val="auto"/>
        </w:rPr>
        <w:t>The</w:t>
      </w:r>
      <w:r w:rsidR="00C12317" w:rsidRPr="00763928">
        <w:rPr>
          <w:color w:val="auto"/>
        </w:rPr>
        <w:t xml:space="preserve"> </w:t>
      </w:r>
      <w:r w:rsidR="00EB068A" w:rsidRPr="00763928">
        <w:rPr>
          <w:color w:val="auto"/>
        </w:rPr>
        <w:t xml:space="preserve">HRA </w:t>
      </w:r>
      <w:r w:rsidR="0074211E" w:rsidRPr="00763928">
        <w:rPr>
          <w:color w:val="auto"/>
        </w:rPr>
        <w:t>is</w:t>
      </w:r>
      <w:r w:rsidR="00EB068A" w:rsidRPr="00763928">
        <w:rPr>
          <w:color w:val="auto"/>
        </w:rPr>
        <w:t xml:space="preserve"> showing</w:t>
      </w:r>
      <w:r w:rsidR="0074211E" w:rsidRPr="00763928">
        <w:rPr>
          <w:color w:val="auto"/>
        </w:rPr>
        <w:t xml:space="preserve"> a </w:t>
      </w:r>
      <w:r w:rsidR="00C12317" w:rsidRPr="00763928">
        <w:rPr>
          <w:color w:val="auto"/>
        </w:rPr>
        <w:t>favourabl</w:t>
      </w:r>
      <w:r w:rsidR="002E3561" w:rsidRPr="00763928">
        <w:rPr>
          <w:color w:val="auto"/>
        </w:rPr>
        <w:t xml:space="preserve">e </w:t>
      </w:r>
      <w:r w:rsidR="00C12317" w:rsidRPr="00763928">
        <w:rPr>
          <w:color w:val="auto"/>
        </w:rPr>
        <w:t xml:space="preserve">variance </w:t>
      </w:r>
      <w:r w:rsidR="0074211E" w:rsidRPr="00763928">
        <w:rPr>
          <w:color w:val="auto"/>
        </w:rPr>
        <w:t>of</w:t>
      </w:r>
      <w:r w:rsidRPr="00763928">
        <w:rPr>
          <w:color w:val="auto"/>
        </w:rPr>
        <w:t xml:space="preserve"> </w:t>
      </w:r>
      <w:r w:rsidR="00966F41" w:rsidRPr="00763928">
        <w:rPr>
          <w:color w:val="auto"/>
        </w:rPr>
        <w:t>£</w:t>
      </w:r>
      <w:r w:rsidR="00840B2F" w:rsidRPr="00763928">
        <w:rPr>
          <w:color w:val="auto"/>
        </w:rPr>
        <w:t>5.48</w:t>
      </w:r>
      <w:r w:rsidR="00073CC5">
        <w:rPr>
          <w:color w:val="auto"/>
        </w:rPr>
        <w:t>3</w:t>
      </w:r>
      <w:r w:rsidR="00966F41" w:rsidRPr="00763928">
        <w:rPr>
          <w:color w:val="auto"/>
        </w:rPr>
        <w:t xml:space="preserve"> </w:t>
      </w:r>
      <w:r w:rsidR="001E5C87" w:rsidRPr="00763928">
        <w:rPr>
          <w:color w:val="auto"/>
        </w:rPr>
        <w:t xml:space="preserve">million </w:t>
      </w:r>
      <w:r w:rsidR="00BB090E" w:rsidRPr="00763928">
        <w:rPr>
          <w:color w:val="auto"/>
        </w:rPr>
        <w:t xml:space="preserve">above the original budgeted </w:t>
      </w:r>
      <w:r w:rsidR="00052F57" w:rsidRPr="00763928">
        <w:rPr>
          <w:color w:val="auto"/>
        </w:rPr>
        <w:t>surplus</w:t>
      </w:r>
      <w:r w:rsidR="001E5C87" w:rsidRPr="00763928">
        <w:rPr>
          <w:color w:val="auto"/>
        </w:rPr>
        <w:t xml:space="preserve"> of </w:t>
      </w:r>
      <w:r w:rsidR="00966F41" w:rsidRPr="00763928">
        <w:rPr>
          <w:color w:val="auto"/>
        </w:rPr>
        <w:t>£</w:t>
      </w:r>
      <w:r w:rsidR="00052F57" w:rsidRPr="00763928">
        <w:rPr>
          <w:color w:val="auto"/>
        </w:rPr>
        <w:t>0.99</w:t>
      </w:r>
      <w:r w:rsidR="00073CC5">
        <w:rPr>
          <w:color w:val="auto"/>
        </w:rPr>
        <w:t>3</w:t>
      </w:r>
      <w:r w:rsidR="001E5C87" w:rsidRPr="00763928">
        <w:rPr>
          <w:color w:val="auto"/>
        </w:rPr>
        <w:t xml:space="preserve"> million</w:t>
      </w:r>
      <w:r w:rsidR="000D6E10" w:rsidRPr="00763928">
        <w:rPr>
          <w:color w:val="auto"/>
        </w:rPr>
        <w:t xml:space="preserve"> (Appendix C)</w:t>
      </w:r>
      <w:r w:rsidR="00C12317" w:rsidRPr="00763928">
        <w:rPr>
          <w:color w:val="auto"/>
        </w:rPr>
        <w:t xml:space="preserve">.  This is </w:t>
      </w:r>
      <w:r w:rsidR="00D357A0" w:rsidRPr="00763928">
        <w:rPr>
          <w:color w:val="auto"/>
        </w:rPr>
        <w:t>after allowing for</w:t>
      </w:r>
      <w:r w:rsidR="00EB068A" w:rsidRPr="00763928">
        <w:rPr>
          <w:color w:val="auto"/>
        </w:rPr>
        <w:t xml:space="preserve"> carry forward </w:t>
      </w:r>
      <w:r w:rsidR="00C12317" w:rsidRPr="00763928">
        <w:rPr>
          <w:color w:val="auto"/>
        </w:rPr>
        <w:t>request</w:t>
      </w:r>
      <w:r w:rsidR="00EB068A" w:rsidRPr="00763928">
        <w:rPr>
          <w:color w:val="auto"/>
        </w:rPr>
        <w:t>s, totalling</w:t>
      </w:r>
      <w:r w:rsidR="00052F57" w:rsidRPr="00763928">
        <w:rPr>
          <w:color w:val="auto"/>
        </w:rPr>
        <w:t xml:space="preserve"> £1.881</w:t>
      </w:r>
      <w:r w:rsidR="00660A77" w:rsidRPr="00763928">
        <w:rPr>
          <w:color w:val="auto"/>
        </w:rPr>
        <w:t xml:space="preserve"> million</w:t>
      </w:r>
      <w:r w:rsidR="00C12317" w:rsidRPr="00763928">
        <w:rPr>
          <w:color w:val="auto"/>
        </w:rPr>
        <w:t>.</w:t>
      </w:r>
      <w:r w:rsidR="003E74D0" w:rsidRPr="00763928">
        <w:rPr>
          <w:color w:val="auto"/>
        </w:rPr>
        <w:t xml:space="preserve"> </w:t>
      </w:r>
    </w:p>
    <w:p w:rsidR="00344FBB" w:rsidRPr="00763928" w:rsidRDefault="00F74877" w:rsidP="00F469EE">
      <w:pPr>
        <w:pStyle w:val="ListParagraph"/>
        <w:tabs>
          <w:tab w:val="clear" w:pos="426"/>
        </w:tabs>
        <w:ind w:left="851" w:hanging="709"/>
        <w:rPr>
          <w:color w:val="auto"/>
        </w:rPr>
      </w:pPr>
      <w:r w:rsidRPr="00763928">
        <w:rPr>
          <w:color w:val="auto"/>
        </w:rPr>
        <w:t xml:space="preserve">The carry forward requests for the HRA </w:t>
      </w:r>
      <w:r w:rsidR="003428A9">
        <w:rPr>
          <w:color w:val="auto"/>
        </w:rPr>
        <w:t xml:space="preserve">detailed in Appendix D </w:t>
      </w:r>
      <w:r w:rsidRPr="00763928">
        <w:rPr>
          <w:color w:val="auto"/>
        </w:rPr>
        <w:t>include £0.</w:t>
      </w:r>
      <w:r w:rsidR="00504986" w:rsidRPr="00763928">
        <w:rPr>
          <w:color w:val="auto"/>
        </w:rPr>
        <w:t>270</w:t>
      </w:r>
      <w:r w:rsidRPr="00763928">
        <w:rPr>
          <w:color w:val="auto"/>
        </w:rPr>
        <w:t xml:space="preserve"> million for </w:t>
      </w:r>
      <w:r w:rsidR="00504986" w:rsidRPr="00763928">
        <w:rPr>
          <w:color w:val="auto"/>
        </w:rPr>
        <w:t>Day to Day repairs; £0.444 million for fencing; £0.182 million for painting and joinery and £0.493 million for Consultants fees.</w:t>
      </w:r>
      <w:r w:rsidR="003428A9">
        <w:rPr>
          <w:color w:val="auto"/>
        </w:rPr>
        <w:t xml:space="preserve"> ODS will undertake a catch up exercise on these repairs in 2021-22</w:t>
      </w:r>
    </w:p>
    <w:p w:rsidR="00703F5D" w:rsidRPr="00763928" w:rsidRDefault="00703F5D" w:rsidP="00F469EE">
      <w:pPr>
        <w:pStyle w:val="ListParagraph"/>
        <w:tabs>
          <w:tab w:val="clear" w:pos="426"/>
        </w:tabs>
        <w:ind w:left="851" w:hanging="709"/>
        <w:rPr>
          <w:color w:val="auto"/>
        </w:rPr>
      </w:pPr>
      <w:r w:rsidRPr="00763928">
        <w:rPr>
          <w:color w:val="auto"/>
        </w:rPr>
        <w:t>The HRA working balance remains unchanged at £4.0 million.</w:t>
      </w:r>
    </w:p>
    <w:p w:rsidR="00536537" w:rsidRPr="00763928" w:rsidRDefault="00703F5D" w:rsidP="00F469EE">
      <w:pPr>
        <w:pStyle w:val="ListParagraph"/>
        <w:tabs>
          <w:tab w:val="clear" w:pos="426"/>
        </w:tabs>
        <w:ind w:left="851" w:hanging="709"/>
        <w:rPr>
          <w:color w:val="auto"/>
        </w:rPr>
      </w:pPr>
      <w:r w:rsidRPr="00763928">
        <w:rPr>
          <w:color w:val="auto"/>
        </w:rPr>
        <w:t xml:space="preserve">The </w:t>
      </w:r>
      <w:r w:rsidR="00840B2F" w:rsidRPr="00763928">
        <w:rPr>
          <w:color w:val="auto"/>
        </w:rPr>
        <w:t xml:space="preserve">total </w:t>
      </w:r>
      <w:r w:rsidR="00504986" w:rsidRPr="00763928">
        <w:rPr>
          <w:color w:val="auto"/>
        </w:rPr>
        <w:t>year-end</w:t>
      </w:r>
      <w:r w:rsidR="008F2876" w:rsidRPr="00763928">
        <w:rPr>
          <w:color w:val="auto"/>
        </w:rPr>
        <w:t xml:space="preserve"> variance is shown as </w:t>
      </w:r>
      <w:r w:rsidR="00840B2F" w:rsidRPr="00763928">
        <w:rPr>
          <w:color w:val="auto"/>
        </w:rPr>
        <w:t xml:space="preserve">the </w:t>
      </w:r>
      <w:r w:rsidR="008F2876" w:rsidRPr="00763928">
        <w:rPr>
          <w:color w:val="auto"/>
        </w:rPr>
        <w:t>£</w:t>
      </w:r>
      <w:r w:rsidR="00504986" w:rsidRPr="00763928">
        <w:rPr>
          <w:color w:val="auto"/>
        </w:rPr>
        <w:t>6.476</w:t>
      </w:r>
      <w:r w:rsidR="00362247" w:rsidRPr="00763928">
        <w:rPr>
          <w:color w:val="auto"/>
        </w:rPr>
        <w:t xml:space="preserve"> </w:t>
      </w:r>
      <w:r w:rsidRPr="00763928">
        <w:rPr>
          <w:color w:val="auto"/>
        </w:rPr>
        <w:t xml:space="preserve">million </w:t>
      </w:r>
      <w:r w:rsidR="00840B2F" w:rsidRPr="00763928">
        <w:rPr>
          <w:color w:val="auto"/>
        </w:rPr>
        <w:t xml:space="preserve"> - a total of the budgeted surplus of £0.99</w:t>
      </w:r>
      <w:r w:rsidR="00073CC5">
        <w:rPr>
          <w:color w:val="auto"/>
        </w:rPr>
        <w:t>3</w:t>
      </w:r>
      <w:r w:rsidR="00840B2F" w:rsidRPr="00763928">
        <w:rPr>
          <w:color w:val="auto"/>
        </w:rPr>
        <w:t xml:space="preserve"> million and the in</w:t>
      </w:r>
      <w:r w:rsidR="00F54052">
        <w:rPr>
          <w:color w:val="auto"/>
        </w:rPr>
        <w:t>-</w:t>
      </w:r>
      <w:r w:rsidR="00840B2F" w:rsidRPr="00763928">
        <w:rPr>
          <w:color w:val="auto"/>
        </w:rPr>
        <w:t>year variance of £5.48</w:t>
      </w:r>
      <w:r w:rsidR="00073CC5">
        <w:rPr>
          <w:color w:val="auto"/>
        </w:rPr>
        <w:t>3</w:t>
      </w:r>
      <w:r w:rsidR="00840B2F" w:rsidRPr="00763928">
        <w:rPr>
          <w:color w:val="auto"/>
        </w:rPr>
        <w:t xml:space="preserve"> million - </w:t>
      </w:r>
      <w:r w:rsidRPr="00763928">
        <w:rPr>
          <w:color w:val="auto"/>
        </w:rPr>
        <w:t>and the m</w:t>
      </w:r>
      <w:r w:rsidR="00536537" w:rsidRPr="00763928">
        <w:rPr>
          <w:color w:val="auto"/>
        </w:rPr>
        <w:t>ajor variations include:</w:t>
      </w:r>
    </w:p>
    <w:p w:rsidR="00362247" w:rsidRPr="00763928" w:rsidRDefault="001650C2" w:rsidP="00F469EE">
      <w:pPr>
        <w:pStyle w:val="ListParagraph"/>
        <w:numPr>
          <w:ilvl w:val="1"/>
          <w:numId w:val="7"/>
        </w:numPr>
        <w:ind w:left="1276" w:hanging="425"/>
        <w:rPr>
          <w:color w:val="auto"/>
        </w:rPr>
      </w:pPr>
      <w:r w:rsidRPr="00763928">
        <w:rPr>
          <w:b/>
          <w:color w:val="auto"/>
        </w:rPr>
        <w:t>Net Income</w:t>
      </w:r>
      <w:r w:rsidR="00362247" w:rsidRPr="00763928">
        <w:rPr>
          <w:color w:val="auto"/>
        </w:rPr>
        <w:t xml:space="preserve"> – </w:t>
      </w:r>
      <w:r w:rsidR="00C40A7D" w:rsidRPr="00763928">
        <w:rPr>
          <w:color w:val="auto"/>
        </w:rPr>
        <w:t>favourable variance of £0.</w:t>
      </w:r>
      <w:r w:rsidRPr="00763928">
        <w:rPr>
          <w:color w:val="auto"/>
        </w:rPr>
        <w:t>635</w:t>
      </w:r>
      <w:r w:rsidR="00C40A7D" w:rsidRPr="00763928">
        <w:rPr>
          <w:color w:val="auto"/>
        </w:rPr>
        <w:t xml:space="preserve"> million,</w:t>
      </w:r>
      <w:r w:rsidR="00ED107E">
        <w:rPr>
          <w:color w:val="auto"/>
        </w:rPr>
        <w:t xml:space="preserve"> this variance is made up of increased income due to less Right to buy disposals and higher service charge income due to more flats purchased </w:t>
      </w:r>
      <w:r w:rsidR="00FA171C">
        <w:rPr>
          <w:color w:val="auto"/>
        </w:rPr>
        <w:t>than forecast</w:t>
      </w:r>
      <w:r w:rsidR="00ED107E">
        <w:rPr>
          <w:color w:val="auto"/>
        </w:rPr>
        <w:t xml:space="preserve">; </w:t>
      </w:r>
    </w:p>
    <w:p w:rsidR="00362247" w:rsidRPr="00763928" w:rsidRDefault="00C40A7D" w:rsidP="00F469EE">
      <w:pPr>
        <w:pStyle w:val="ListParagraph"/>
        <w:numPr>
          <w:ilvl w:val="1"/>
          <w:numId w:val="7"/>
        </w:numPr>
        <w:spacing w:before="240"/>
        <w:ind w:left="1276" w:hanging="425"/>
        <w:contextualSpacing/>
        <w:rPr>
          <w:color w:val="auto"/>
        </w:rPr>
      </w:pPr>
      <w:r w:rsidRPr="00763928">
        <w:rPr>
          <w:b/>
          <w:color w:val="auto"/>
        </w:rPr>
        <w:t>Management and Services (Stock related)</w:t>
      </w:r>
      <w:r w:rsidRPr="00763928">
        <w:rPr>
          <w:color w:val="auto"/>
        </w:rPr>
        <w:t xml:space="preserve"> – </w:t>
      </w:r>
      <w:r w:rsidR="007F454B" w:rsidRPr="00763928">
        <w:rPr>
          <w:color w:val="auto"/>
        </w:rPr>
        <w:t>favourable variance of £0.</w:t>
      </w:r>
      <w:r w:rsidR="001650C2" w:rsidRPr="00763928">
        <w:rPr>
          <w:color w:val="auto"/>
        </w:rPr>
        <w:t>9</w:t>
      </w:r>
      <w:r w:rsidR="00073CC5">
        <w:rPr>
          <w:color w:val="auto"/>
        </w:rPr>
        <w:t>74</w:t>
      </w:r>
      <w:r w:rsidR="007F454B" w:rsidRPr="00763928">
        <w:rPr>
          <w:color w:val="auto"/>
        </w:rPr>
        <w:t xml:space="preserve"> million</w:t>
      </w:r>
      <w:r w:rsidR="00ED107E">
        <w:rPr>
          <w:color w:val="auto"/>
        </w:rPr>
        <w:t xml:space="preserve"> due to reduced spend on utilities; court fee costs due to COVID 19; and a lower charge on building insurance;</w:t>
      </w:r>
    </w:p>
    <w:p w:rsidR="00362247" w:rsidRPr="00763928" w:rsidRDefault="00C40A7D" w:rsidP="00F469EE">
      <w:pPr>
        <w:pStyle w:val="ListParagraph"/>
        <w:numPr>
          <w:ilvl w:val="1"/>
          <w:numId w:val="7"/>
        </w:numPr>
        <w:spacing w:before="240"/>
        <w:ind w:left="1276" w:hanging="425"/>
        <w:contextualSpacing/>
        <w:rPr>
          <w:color w:val="auto"/>
        </w:rPr>
      </w:pPr>
      <w:r w:rsidRPr="00763928">
        <w:rPr>
          <w:b/>
          <w:bCs/>
          <w:color w:val="auto"/>
        </w:rPr>
        <w:t xml:space="preserve">Other Revenue spend (stock related) </w:t>
      </w:r>
      <w:r w:rsidRPr="00763928">
        <w:rPr>
          <w:color w:val="auto"/>
        </w:rPr>
        <w:t xml:space="preserve">– </w:t>
      </w:r>
      <w:r w:rsidR="007F454B" w:rsidRPr="00763928">
        <w:rPr>
          <w:color w:val="auto"/>
        </w:rPr>
        <w:t>favourable variance of £</w:t>
      </w:r>
      <w:r w:rsidR="00073CC5">
        <w:rPr>
          <w:color w:val="auto"/>
        </w:rPr>
        <w:t>1.061</w:t>
      </w:r>
      <w:r w:rsidR="007F454B" w:rsidRPr="00763928">
        <w:rPr>
          <w:color w:val="auto"/>
        </w:rPr>
        <w:t xml:space="preserve"> million</w:t>
      </w:r>
      <w:r w:rsidR="00ED107E">
        <w:rPr>
          <w:color w:val="auto"/>
        </w:rPr>
        <w:t xml:space="preserve"> as the result of reduced spend on consultancy fees and </w:t>
      </w:r>
      <w:r w:rsidR="00073CC5">
        <w:rPr>
          <w:color w:val="auto"/>
        </w:rPr>
        <w:t xml:space="preserve">reduced spend on ancillary costs linked to slippages in capital schemes and two </w:t>
      </w:r>
      <w:r w:rsidR="00ED107E">
        <w:rPr>
          <w:color w:val="auto"/>
        </w:rPr>
        <w:t>vacant posts within the Energy and Environment team;</w:t>
      </w:r>
    </w:p>
    <w:p w:rsidR="001650C2" w:rsidRPr="00763928" w:rsidRDefault="001650C2" w:rsidP="00F469EE">
      <w:pPr>
        <w:pStyle w:val="ListParagraph"/>
        <w:numPr>
          <w:ilvl w:val="1"/>
          <w:numId w:val="7"/>
        </w:numPr>
        <w:spacing w:before="240"/>
        <w:ind w:left="1276" w:hanging="425"/>
        <w:contextualSpacing/>
        <w:rPr>
          <w:color w:val="auto"/>
        </w:rPr>
      </w:pPr>
      <w:proofErr w:type="spellStart"/>
      <w:r w:rsidRPr="00763928">
        <w:rPr>
          <w:b/>
          <w:bCs/>
          <w:color w:val="auto"/>
        </w:rPr>
        <w:t>Misc</w:t>
      </w:r>
      <w:proofErr w:type="spellEnd"/>
      <w:r w:rsidRPr="00763928">
        <w:rPr>
          <w:b/>
          <w:bCs/>
          <w:color w:val="auto"/>
        </w:rPr>
        <w:t xml:space="preserve"> Expenditure (not stock related) </w:t>
      </w:r>
      <w:r w:rsidR="00073CC5">
        <w:rPr>
          <w:color w:val="auto"/>
        </w:rPr>
        <w:t>– adverse variance of £0.335</w:t>
      </w:r>
      <w:r w:rsidRPr="00763928">
        <w:rPr>
          <w:color w:val="auto"/>
        </w:rPr>
        <w:t xml:space="preserve"> million </w:t>
      </w:r>
      <w:r w:rsidR="00ED107E">
        <w:rPr>
          <w:color w:val="auto"/>
        </w:rPr>
        <w:t>which is due to additional spend on feasibility projects</w:t>
      </w:r>
      <w:r w:rsidR="00073CC5">
        <w:rPr>
          <w:color w:val="auto"/>
        </w:rPr>
        <w:t>, carry forwards included top up received from OCHL for feasibility work</w:t>
      </w:r>
      <w:r w:rsidRPr="00763928">
        <w:rPr>
          <w:color w:val="auto"/>
        </w:rPr>
        <w:t>;</w:t>
      </w:r>
    </w:p>
    <w:p w:rsidR="00073CC5" w:rsidRPr="00073CC5" w:rsidRDefault="00073CC5" w:rsidP="00F469EE">
      <w:pPr>
        <w:pStyle w:val="ListParagraph"/>
        <w:numPr>
          <w:ilvl w:val="1"/>
          <w:numId w:val="7"/>
        </w:numPr>
        <w:tabs>
          <w:tab w:val="clear" w:pos="426"/>
        </w:tabs>
        <w:spacing w:before="240"/>
        <w:ind w:left="1276" w:hanging="425"/>
        <w:contextualSpacing/>
        <w:rPr>
          <w:color w:val="auto"/>
          <w:sz w:val="20"/>
          <w:szCs w:val="20"/>
        </w:rPr>
      </w:pPr>
      <w:r w:rsidRPr="00073CC5">
        <w:rPr>
          <w:b/>
          <w:bCs/>
          <w:color w:val="auto"/>
        </w:rPr>
        <w:t xml:space="preserve">Bad Debt Provision </w:t>
      </w:r>
      <w:r w:rsidRPr="00073CC5">
        <w:rPr>
          <w:color w:val="auto"/>
        </w:rPr>
        <w:t xml:space="preserve">– Favourable variance of £0.637 million; due to </w:t>
      </w:r>
      <w:r>
        <w:rPr>
          <w:color w:val="auto"/>
        </w:rPr>
        <w:t>exceeding the collection rate.</w:t>
      </w:r>
      <w:r w:rsidRPr="00073CC5">
        <w:rPr>
          <w:color w:val="auto"/>
        </w:rPr>
        <w:t xml:space="preserve">  In preparation for the implementation of the new housing system, </w:t>
      </w:r>
      <w:r>
        <w:rPr>
          <w:color w:val="auto"/>
        </w:rPr>
        <w:t>a data cleanse exercise was carried out clearing out and writing off old balances.</w:t>
      </w:r>
      <w:r w:rsidRPr="00073CC5">
        <w:rPr>
          <w:color w:val="auto"/>
        </w:rPr>
        <w:t xml:space="preserve"> </w:t>
      </w:r>
    </w:p>
    <w:p w:rsidR="00073CC5" w:rsidRPr="00073CC5" w:rsidRDefault="00073CC5" w:rsidP="00F469EE">
      <w:pPr>
        <w:pStyle w:val="ListParagraph"/>
        <w:numPr>
          <w:ilvl w:val="1"/>
          <w:numId w:val="7"/>
        </w:numPr>
        <w:tabs>
          <w:tab w:val="clear" w:pos="426"/>
        </w:tabs>
        <w:spacing w:before="240"/>
        <w:ind w:left="1276" w:hanging="425"/>
        <w:contextualSpacing/>
        <w:rPr>
          <w:color w:val="auto"/>
        </w:rPr>
      </w:pPr>
      <w:r w:rsidRPr="00073CC5">
        <w:rPr>
          <w:b/>
          <w:bCs/>
          <w:color w:val="auto"/>
        </w:rPr>
        <w:t xml:space="preserve">Interest Paid </w:t>
      </w:r>
      <w:r w:rsidRPr="00073CC5">
        <w:rPr>
          <w:color w:val="auto"/>
        </w:rPr>
        <w:t xml:space="preserve">– favourable variance of £0.801 million; less loans needed to fund the capital programme as the majority </w:t>
      </w:r>
      <w:r>
        <w:rPr>
          <w:color w:val="auto"/>
        </w:rPr>
        <w:t>of development schemes slipped a</w:t>
      </w:r>
      <w:r w:rsidRPr="00073CC5">
        <w:rPr>
          <w:color w:val="auto"/>
        </w:rPr>
        <w:t>n average</w:t>
      </w:r>
      <w:r>
        <w:rPr>
          <w:color w:val="auto"/>
        </w:rPr>
        <w:t xml:space="preserve"> of</w:t>
      </w:r>
      <w:r w:rsidRPr="00073CC5">
        <w:rPr>
          <w:color w:val="auto"/>
        </w:rPr>
        <w:t xml:space="preserve"> 6 months.</w:t>
      </w:r>
    </w:p>
    <w:p w:rsidR="00073CC5" w:rsidRPr="00073CC5" w:rsidRDefault="00073CC5" w:rsidP="00F469EE">
      <w:pPr>
        <w:pStyle w:val="ListParagraph"/>
        <w:numPr>
          <w:ilvl w:val="1"/>
          <w:numId w:val="7"/>
        </w:numPr>
        <w:tabs>
          <w:tab w:val="clear" w:pos="426"/>
        </w:tabs>
        <w:spacing w:before="240"/>
        <w:ind w:left="1276" w:hanging="425"/>
        <w:contextualSpacing/>
        <w:rPr>
          <w:color w:val="auto"/>
        </w:rPr>
      </w:pPr>
      <w:r w:rsidRPr="00073CC5">
        <w:rPr>
          <w:b/>
          <w:bCs/>
          <w:color w:val="auto"/>
        </w:rPr>
        <w:t>Depreciation</w:t>
      </w:r>
      <w:r w:rsidRPr="00073CC5">
        <w:rPr>
          <w:color w:val="auto"/>
        </w:rPr>
        <w:t xml:space="preserve"> – favourable variance of £1.461 million due to the value of properties, on which depreciation is calculated, being lower than expected</w:t>
      </w:r>
      <w:r>
        <w:rPr>
          <w:color w:val="auto"/>
        </w:rPr>
        <w:t>.  The budget was created </w:t>
      </w:r>
      <w:r w:rsidRPr="00073CC5">
        <w:rPr>
          <w:color w:val="auto"/>
        </w:rPr>
        <w:t>from the HRA business plan, due to slippages on development</w:t>
      </w:r>
      <w:r>
        <w:rPr>
          <w:color w:val="auto"/>
        </w:rPr>
        <w:t>s</w:t>
      </w:r>
      <w:r w:rsidRPr="00073CC5">
        <w:rPr>
          <w:color w:val="auto"/>
        </w:rPr>
        <w:t xml:space="preserve"> this didn’t materialise.</w:t>
      </w:r>
    </w:p>
    <w:p w:rsidR="00073CC5" w:rsidRPr="00073CC5" w:rsidRDefault="00073CC5" w:rsidP="00F469EE">
      <w:pPr>
        <w:pStyle w:val="ListParagraph"/>
        <w:numPr>
          <w:ilvl w:val="1"/>
          <w:numId w:val="7"/>
        </w:numPr>
        <w:tabs>
          <w:tab w:val="clear" w:pos="426"/>
        </w:tabs>
        <w:spacing w:before="240" w:after="0"/>
        <w:ind w:left="1276" w:hanging="283"/>
        <w:contextualSpacing/>
        <w:rPr>
          <w:b/>
          <w:bCs/>
          <w:color w:val="auto"/>
        </w:rPr>
      </w:pPr>
      <w:r w:rsidRPr="00073CC5">
        <w:rPr>
          <w:b/>
          <w:bCs/>
          <w:color w:val="auto"/>
        </w:rPr>
        <w:lastRenderedPageBreak/>
        <w:t xml:space="preserve">Appropriations – </w:t>
      </w:r>
      <w:r w:rsidRPr="00073CC5">
        <w:rPr>
          <w:color w:val="auto"/>
        </w:rPr>
        <w:t>overall favourable variance of £0.183 million.  Mostly Investment Income, due to using less reserves to fund the capital pr</w:t>
      </w:r>
      <w:r>
        <w:rPr>
          <w:color w:val="auto"/>
        </w:rPr>
        <w:t xml:space="preserve">ogramme, due to slippages </w:t>
      </w:r>
      <w:r w:rsidR="00FA171C">
        <w:rPr>
          <w:color w:val="auto"/>
        </w:rPr>
        <w:t xml:space="preserve">arising </w:t>
      </w:r>
      <w:r>
        <w:rPr>
          <w:color w:val="auto"/>
        </w:rPr>
        <w:t xml:space="preserve">from </w:t>
      </w:r>
      <w:proofErr w:type="spellStart"/>
      <w:r>
        <w:rPr>
          <w:color w:val="auto"/>
        </w:rPr>
        <w:t>C</w:t>
      </w:r>
      <w:r w:rsidRPr="00073CC5">
        <w:rPr>
          <w:color w:val="auto"/>
        </w:rPr>
        <w:t>ovid</w:t>
      </w:r>
      <w:proofErr w:type="spellEnd"/>
      <w:r>
        <w:rPr>
          <w:color w:val="auto"/>
        </w:rPr>
        <w:t xml:space="preserve"> 19</w:t>
      </w:r>
      <w:r w:rsidRPr="00073CC5">
        <w:rPr>
          <w:color w:val="auto"/>
        </w:rPr>
        <w:t>.</w:t>
      </w:r>
    </w:p>
    <w:p w:rsidR="00362247" w:rsidRPr="00B1310E" w:rsidRDefault="00362247" w:rsidP="00362247">
      <w:pPr>
        <w:pStyle w:val="ListParagraph"/>
        <w:numPr>
          <w:ilvl w:val="0"/>
          <w:numId w:val="0"/>
        </w:numPr>
        <w:tabs>
          <w:tab w:val="clear" w:pos="426"/>
        </w:tabs>
        <w:spacing w:after="0"/>
        <w:ind w:left="1080"/>
        <w:contextualSpacing/>
        <w:rPr>
          <w:b/>
          <w:color w:val="FF0000"/>
        </w:rPr>
      </w:pPr>
    </w:p>
    <w:p w:rsidR="00764912" w:rsidRPr="00F469EE" w:rsidRDefault="00764912" w:rsidP="0062626A">
      <w:pPr>
        <w:pStyle w:val="ListParagraph"/>
        <w:numPr>
          <w:ilvl w:val="0"/>
          <w:numId w:val="0"/>
        </w:numPr>
        <w:tabs>
          <w:tab w:val="clear" w:pos="426"/>
        </w:tabs>
        <w:ind w:left="709"/>
        <w:rPr>
          <w:b/>
        </w:rPr>
      </w:pPr>
      <w:r w:rsidRPr="00F469EE">
        <w:rPr>
          <w:b/>
        </w:rPr>
        <w:t>Capital</w:t>
      </w:r>
    </w:p>
    <w:p w:rsidR="00005E14" w:rsidRPr="004D3B4C" w:rsidRDefault="00005E14" w:rsidP="00F469EE">
      <w:pPr>
        <w:pStyle w:val="ListParagraph"/>
        <w:tabs>
          <w:tab w:val="clear" w:pos="426"/>
        </w:tabs>
        <w:ind w:left="709" w:hanging="851"/>
        <w:rPr>
          <w:color w:val="auto"/>
        </w:rPr>
      </w:pPr>
      <w:r w:rsidRPr="004D3B4C">
        <w:rPr>
          <w:color w:val="auto"/>
        </w:rPr>
        <w:t xml:space="preserve">The </w:t>
      </w:r>
      <w:r w:rsidR="009B7F93" w:rsidRPr="004D3B4C">
        <w:rPr>
          <w:color w:val="auto"/>
        </w:rPr>
        <w:t>budget as approved by the Council at its meeting in February 2020 was set at £142.569 million.  Since that date the budget has been increased by £20.745 million to take account of unspent balances rolled forward from 2019-20, giving a budget of £163.314 million as reported to the Cabinet in June 2020 as part of the April update</w:t>
      </w:r>
      <w:r w:rsidR="006F7366" w:rsidRPr="004D3B4C">
        <w:rPr>
          <w:color w:val="auto"/>
        </w:rPr>
        <w:t xml:space="preserve">.  </w:t>
      </w:r>
    </w:p>
    <w:p w:rsidR="009B7F93" w:rsidRPr="00B1310E" w:rsidRDefault="009B7F93" w:rsidP="00F469EE">
      <w:pPr>
        <w:pStyle w:val="ListParagraph"/>
        <w:tabs>
          <w:tab w:val="clear" w:pos="426"/>
        </w:tabs>
        <w:ind w:left="709" w:hanging="851"/>
        <w:rPr>
          <w:color w:val="FF0000"/>
        </w:rPr>
      </w:pPr>
      <w:r w:rsidRPr="004D3B4C">
        <w:rPr>
          <w:color w:val="auto"/>
        </w:rPr>
        <w:t xml:space="preserve">The latest budget </w:t>
      </w:r>
      <w:r w:rsidR="003E4A69" w:rsidRPr="004D3B4C">
        <w:rPr>
          <w:color w:val="auto"/>
        </w:rPr>
        <w:t>reported</w:t>
      </w:r>
      <w:r w:rsidR="004205AA">
        <w:rPr>
          <w:color w:val="auto"/>
        </w:rPr>
        <w:t xml:space="preserve"> in February</w:t>
      </w:r>
      <w:r w:rsidR="003E4A69" w:rsidRPr="004D3B4C">
        <w:rPr>
          <w:color w:val="auto"/>
        </w:rPr>
        <w:t xml:space="preserve"> is </w:t>
      </w:r>
      <w:r w:rsidRPr="004D3B4C">
        <w:rPr>
          <w:color w:val="auto"/>
        </w:rPr>
        <w:t>£</w:t>
      </w:r>
      <w:r w:rsidR="003E4A69" w:rsidRPr="004D3B4C">
        <w:rPr>
          <w:color w:val="auto"/>
        </w:rPr>
        <w:t>78</w:t>
      </w:r>
      <w:r w:rsidRPr="004D3B4C">
        <w:rPr>
          <w:color w:val="auto"/>
        </w:rPr>
        <w:t>.</w:t>
      </w:r>
      <w:r w:rsidR="003E4A69" w:rsidRPr="004D3B4C">
        <w:rPr>
          <w:color w:val="auto"/>
        </w:rPr>
        <w:t>754</w:t>
      </w:r>
      <w:r w:rsidRPr="004D3B4C">
        <w:rPr>
          <w:color w:val="auto"/>
        </w:rPr>
        <w:t xml:space="preserve"> million</w:t>
      </w:r>
      <w:r w:rsidRPr="004D3B4C">
        <w:rPr>
          <w:rFonts w:cs="Arial"/>
          <w:color w:val="auto"/>
        </w:rPr>
        <w:t xml:space="preserve"> showing a reduction from the original budget including carry forwards </w:t>
      </w:r>
      <w:r w:rsidR="003E4A69" w:rsidRPr="004D3B4C">
        <w:rPr>
          <w:rFonts w:cs="Arial"/>
          <w:color w:val="auto"/>
        </w:rPr>
        <w:t xml:space="preserve">of </w:t>
      </w:r>
      <w:r w:rsidRPr="004D3B4C">
        <w:rPr>
          <w:rFonts w:cs="Arial"/>
          <w:color w:val="auto"/>
        </w:rPr>
        <w:t>£</w:t>
      </w:r>
      <w:r w:rsidR="003E4A69" w:rsidRPr="004D3B4C">
        <w:rPr>
          <w:rFonts w:cs="Arial"/>
          <w:color w:val="auto"/>
        </w:rPr>
        <w:t>63</w:t>
      </w:r>
      <w:r w:rsidRPr="004D3B4C">
        <w:rPr>
          <w:rFonts w:cs="Arial"/>
          <w:color w:val="auto"/>
        </w:rPr>
        <w:t>.</w:t>
      </w:r>
      <w:r w:rsidR="003E4A69" w:rsidRPr="004D3B4C">
        <w:rPr>
          <w:rFonts w:cs="Arial"/>
          <w:color w:val="auto"/>
        </w:rPr>
        <w:t>815</w:t>
      </w:r>
      <w:r w:rsidRPr="004D3B4C">
        <w:rPr>
          <w:rFonts w:cs="Arial"/>
          <w:color w:val="auto"/>
        </w:rPr>
        <w:t xml:space="preserve"> million, </w:t>
      </w:r>
      <w:r w:rsidR="003E4A69" w:rsidRPr="004D3B4C">
        <w:rPr>
          <w:rFonts w:cs="Arial"/>
          <w:color w:val="auto"/>
        </w:rPr>
        <w:t xml:space="preserve">and the final spend for the year was £68.780 million, which is further slippage of £9.974 million.  Total slippage for the year equates to £73.789 million.  </w:t>
      </w:r>
      <w:r w:rsidR="0063499F" w:rsidRPr="004D3B4C">
        <w:rPr>
          <w:rFonts w:cs="Arial"/>
          <w:color w:val="auto"/>
        </w:rPr>
        <w:t>Details of these schemes are shown on the ta</w:t>
      </w:r>
      <w:r w:rsidR="0063499F">
        <w:rPr>
          <w:rFonts w:cs="Arial"/>
          <w:color w:val="auto"/>
        </w:rPr>
        <w:t>ble below:</w:t>
      </w:r>
    </w:p>
    <w:p w:rsidR="00295C19" w:rsidRPr="00FF0214" w:rsidRDefault="0063499F" w:rsidP="00123524">
      <w:pPr>
        <w:pStyle w:val="ListParagraph"/>
        <w:numPr>
          <w:ilvl w:val="0"/>
          <w:numId w:val="0"/>
        </w:numPr>
        <w:ind w:left="360"/>
        <w:rPr>
          <w:color w:val="auto"/>
        </w:rPr>
      </w:pPr>
      <w:r w:rsidRPr="0063499F">
        <w:rPr>
          <w:noProof/>
        </w:rPr>
        <w:lastRenderedPageBreak/>
        <w:drawing>
          <wp:inline distT="0" distB="0" distL="0" distR="0" wp14:anchorId="70EC7FD5" wp14:editId="3BF0FAF3">
            <wp:extent cx="5904230" cy="8983989"/>
            <wp:effectExtent l="0" t="0" r="127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230" cy="8983989"/>
                    </a:xfrm>
                    <a:prstGeom prst="rect">
                      <a:avLst/>
                    </a:prstGeom>
                    <a:noFill/>
                    <a:ln>
                      <a:noFill/>
                    </a:ln>
                  </pic:spPr>
                </pic:pic>
              </a:graphicData>
            </a:graphic>
          </wp:inline>
        </w:drawing>
      </w:r>
    </w:p>
    <w:p w:rsidR="0063499F" w:rsidRDefault="0063499F" w:rsidP="0063499F">
      <w:pPr>
        <w:pStyle w:val="ListParagraph"/>
        <w:numPr>
          <w:ilvl w:val="0"/>
          <w:numId w:val="0"/>
        </w:numPr>
        <w:rPr>
          <w:color w:val="FF0000"/>
        </w:rPr>
      </w:pPr>
      <w:r w:rsidRPr="0063499F">
        <w:rPr>
          <w:noProof/>
        </w:rPr>
        <w:lastRenderedPageBreak/>
        <w:drawing>
          <wp:inline distT="0" distB="0" distL="0" distR="0" wp14:anchorId="26D81DC3" wp14:editId="4BFA8161">
            <wp:extent cx="5904230" cy="5828187"/>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4230" cy="5828187"/>
                    </a:xfrm>
                    <a:prstGeom prst="rect">
                      <a:avLst/>
                    </a:prstGeom>
                    <a:noFill/>
                    <a:ln>
                      <a:noFill/>
                    </a:ln>
                  </pic:spPr>
                </pic:pic>
              </a:graphicData>
            </a:graphic>
          </wp:inline>
        </w:drawing>
      </w:r>
    </w:p>
    <w:p w:rsidR="00F54052" w:rsidRDefault="00F54052" w:rsidP="0063499F">
      <w:pPr>
        <w:pStyle w:val="ListParagraph"/>
        <w:numPr>
          <w:ilvl w:val="0"/>
          <w:numId w:val="0"/>
        </w:numPr>
        <w:rPr>
          <w:color w:val="FF0000"/>
        </w:rPr>
      </w:pPr>
    </w:p>
    <w:p w:rsidR="00A92F6E" w:rsidRPr="0063499F" w:rsidRDefault="003428A9" w:rsidP="00F469EE">
      <w:pPr>
        <w:pStyle w:val="ListParagraph"/>
        <w:tabs>
          <w:tab w:val="clear" w:pos="426"/>
        </w:tabs>
        <w:ind w:left="709" w:hanging="709"/>
        <w:rPr>
          <w:color w:val="auto"/>
        </w:rPr>
      </w:pPr>
      <w:r>
        <w:rPr>
          <w:color w:val="auto"/>
        </w:rPr>
        <w:t xml:space="preserve">Slippage from original budget has been previously reported to members but </w:t>
      </w:r>
      <w:r w:rsidR="00295C19" w:rsidRPr="0063499F">
        <w:rPr>
          <w:color w:val="auto"/>
        </w:rPr>
        <w:t xml:space="preserve"> </w:t>
      </w:r>
      <w:r w:rsidR="007D154E" w:rsidRPr="0063499F">
        <w:rPr>
          <w:color w:val="auto"/>
        </w:rPr>
        <w:t xml:space="preserve">new areas of </w:t>
      </w:r>
      <w:r w:rsidR="00BF0DF5">
        <w:rPr>
          <w:color w:val="auto"/>
        </w:rPr>
        <w:t xml:space="preserve">significant </w:t>
      </w:r>
      <w:r w:rsidR="00295C19" w:rsidRPr="0063499F">
        <w:rPr>
          <w:color w:val="auto"/>
        </w:rPr>
        <w:t xml:space="preserve">slippage </w:t>
      </w:r>
      <w:r>
        <w:rPr>
          <w:color w:val="auto"/>
        </w:rPr>
        <w:t xml:space="preserve">since the revised latest budget of £78.754 million </w:t>
      </w:r>
      <w:r w:rsidR="007D154E" w:rsidRPr="0063499F">
        <w:rPr>
          <w:color w:val="auto"/>
        </w:rPr>
        <w:t>are</w:t>
      </w:r>
      <w:r w:rsidR="00295C19" w:rsidRPr="0063499F">
        <w:rPr>
          <w:color w:val="auto"/>
        </w:rPr>
        <w:t xml:space="preserve"> detailed below:</w:t>
      </w:r>
    </w:p>
    <w:p w:rsidR="00AD6658" w:rsidRPr="00EB338F" w:rsidRDefault="00F54052" w:rsidP="00F469EE">
      <w:pPr>
        <w:pStyle w:val="ListParagraph"/>
        <w:numPr>
          <w:ilvl w:val="0"/>
          <w:numId w:val="0"/>
        </w:numPr>
        <w:tabs>
          <w:tab w:val="clear" w:pos="426"/>
          <w:tab w:val="left" w:pos="709"/>
        </w:tabs>
        <w:ind w:left="709"/>
        <w:rPr>
          <w:b/>
          <w:color w:val="auto"/>
        </w:rPr>
      </w:pPr>
      <w:r>
        <w:rPr>
          <w:b/>
          <w:color w:val="auto"/>
        </w:rPr>
        <w:t>General Fund</w:t>
      </w:r>
    </w:p>
    <w:p w:rsidR="00BF0DF5" w:rsidRPr="00EB338F" w:rsidRDefault="00BF0DF5" w:rsidP="00F469EE">
      <w:pPr>
        <w:pStyle w:val="ListParagraph"/>
        <w:numPr>
          <w:ilvl w:val="0"/>
          <w:numId w:val="14"/>
        </w:numPr>
        <w:tabs>
          <w:tab w:val="clear" w:pos="426"/>
        </w:tabs>
        <w:ind w:left="1134" w:hanging="425"/>
        <w:rPr>
          <w:b/>
          <w:color w:val="auto"/>
        </w:rPr>
      </w:pPr>
      <w:r w:rsidRPr="00EB338F">
        <w:rPr>
          <w:b/>
          <w:color w:val="auto"/>
        </w:rPr>
        <w:t>ICT Projects - £0.460 million</w:t>
      </w:r>
      <w:r w:rsidR="00085F4A" w:rsidRPr="00EB338F">
        <w:rPr>
          <w:b/>
          <w:color w:val="auto"/>
        </w:rPr>
        <w:t xml:space="preserve"> – </w:t>
      </w:r>
      <w:r w:rsidR="00085F4A" w:rsidRPr="00EB338F">
        <w:rPr>
          <w:color w:val="auto"/>
        </w:rPr>
        <w:t xml:space="preserve">this slippage is across a number of schemes the most notable are slippage of £0.120 million on the </w:t>
      </w:r>
      <w:r w:rsidR="003428A9">
        <w:rPr>
          <w:color w:val="auto"/>
        </w:rPr>
        <w:t>Customer Relationship Management (</w:t>
      </w:r>
      <w:r w:rsidR="00085F4A" w:rsidRPr="00EB338F">
        <w:rPr>
          <w:color w:val="auto"/>
        </w:rPr>
        <w:t>CRM</w:t>
      </w:r>
      <w:r w:rsidR="003428A9">
        <w:rPr>
          <w:color w:val="auto"/>
        </w:rPr>
        <w:t>)</w:t>
      </w:r>
      <w:r w:rsidR="00085F4A" w:rsidRPr="00EB338F">
        <w:rPr>
          <w:color w:val="auto"/>
        </w:rPr>
        <w:t xml:space="preserve"> </w:t>
      </w:r>
      <w:r w:rsidR="0026625F" w:rsidRPr="00EB338F">
        <w:rPr>
          <w:color w:val="auto"/>
        </w:rPr>
        <w:t>replacement</w:t>
      </w:r>
      <w:r w:rsidR="0026625F">
        <w:rPr>
          <w:color w:val="auto"/>
        </w:rPr>
        <w:t>;</w:t>
      </w:r>
      <w:r w:rsidR="00085F4A" w:rsidRPr="00EB338F">
        <w:rPr>
          <w:color w:val="auto"/>
        </w:rPr>
        <w:t xml:space="preserve"> £0.048 million slippage on Windows 2008 server replacement due to</w:t>
      </w:r>
      <w:r w:rsidR="003428A9">
        <w:rPr>
          <w:color w:val="auto"/>
        </w:rPr>
        <w:t xml:space="preserve"> conti</w:t>
      </w:r>
      <w:r w:rsidR="00085F4A" w:rsidRPr="00EB338F">
        <w:rPr>
          <w:color w:val="auto"/>
        </w:rPr>
        <w:t xml:space="preserve">nued running of old servers whilst new systems are put in place; Revs and Bens System Replacement slippage of £0.219 million </w:t>
      </w:r>
      <w:r w:rsidR="003428A9">
        <w:rPr>
          <w:color w:val="auto"/>
        </w:rPr>
        <w:t xml:space="preserve">which is planned </w:t>
      </w:r>
      <w:proofErr w:type="gramStart"/>
      <w:r w:rsidR="003428A9">
        <w:rPr>
          <w:color w:val="auto"/>
        </w:rPr>
        <w:t xml:space="preserve">to </w:t>
      </w:r>
      <w:r w:rsidR="00085F4A" w:rsidRPr="00EB338F">
        <w:rPr>
          <w:color w:val="auto"/>
        </w:rPr>
        <w:t xml:space="preserve"> go</w:t>
      </w:r>
      <w:proofErr w:type="gramEnd"/>
      <w:r w:rsidR="00085F4A" w:rsidRPr="00EB338F">
        <w:rPr>
          <w:color w:val="auto"/>
        </w:rPr>
        <w:t xml:space="preserve"> live </w:t>
      </w:r>
      <w:r w:rsidR="00F13BA9">
        <w:rPr>
          <w:color w:val="auto"/>
        </w:rPr>
        <w:t>in</w:t>
      </w:r>
      <w:r w:rsidR="00085F4A" w:rsidRPr="00EB338F">
        <w:rPr>
          <w:color w:val="auto"/>
        </w:rPr>
        <w:t xml:space="preserve"> Sept</w:t>
      </w:r>
      <w:r w:rsidR="00F13BA9">
        <w:rPr>
          <w:color w:val="auto"/>
        </w:rPr>
        <w:t>ember</w:t>
      </w:r>
      <w:r w:rsidR="00085F4A" w:rsidRPr="00EB338F">
        <w:rPr>
          <w:color w:val="auto"/>
        </w:rPr>
        <w:t xml:space="preserve"> 2021.</w:t>
      </w:r>
    </w:p>
    <w:p w:rsidR="00BF0DF5" w:rsidRPr="00F71E55" w:rsidRDefault="00BF0DF5" w:rsidP="00F469EE">
      <w:pPr>
        <w:pStyle w:val="ListParagraph"/>
        <w:numPr>
          <w:ilvl w:val="0"/>
          <w:numId w:val="14"/>
        </w:numPr>
        <w:tabs>
          <w:tab w:val="clear" w:pos="426"/>
        </w:tabs>
        <w:ind w:left="1134" w:hanging="425"/>
        <w:rPr>
          <w:b/>
          <w:color w:val="auto"/>
        </w:rPr>
      </w:pPr>
      <w:r w:rsidRPr="00EB338F">
        <w:rPr>
          <w:b/>
          <w:color w:val="auto"/>
        </w:rPr>
        <w:t>Stage 2 Museum of Oxford - £1.016 million</w:t>
      </w:r>
      <w:r w:rsidR="00085F4A" w:rsidRPr="00EB338F">
        <w:rPr>
          <w:b/>
          <w:color w:val="auto"/>
        </w:rPr>
        <w:t xml:space="preserve"> – </w:t>
      </w:r>
      <w:r w:rsidR="00085F4A" w:rsidRPr="00EB338F">
        <w:rPr>
          <w:color w:val="auto"/>
        </w:rPr>
        <w:t xml:space="preserve">there have been delays due to COVID 19 and additional requirements for fire doors, but the project is </w:t>
      </w:r>
      <w:r w:rsidR="00085F4A" w:rsidRPr="00F71E55">
        <w:rPr>
          <w:color w:val="auto"/>
        </w:rPr>
        <w:t>due to complete in August 2021.</w:t>
      </w:r>
    </w:p>
    <w:p w:rsidR="00BF0DF5" w:rsidRPr="00F71E55" w:rsidRDefault="00BF0DF5" w:rsidP="00F469EE">
      <w:pPr>
        <w:pStyle w:val="ListParagraph"/>
        <w:numPr>
          <w:ilvl w:val="0"/>
          <w:numId w:val="14"/>
        </w:numPr>
        <w:tabs>
          <w:tab w:val="clear" w:pos="426"/>
        </w:tabs>
        <w:ind w:left="1134" w:hanging="425"/>
        <w:rPr>
          <w:b/>
          <w:color w:val="auto"/>
        </w:rPr>
      </w:pPr>
      <w:r w:rsidRPr="00F71E55">
        <w:rPr>
          <w:b/>
          <w:color w:val="auto"/>
        </w:rPr>
        <w:lastRenderedPageBreak/>
        <w:t>East Oxford Community Centre - £0.218 million</w:t>
      </w:r>
      <w:r w:rsidR="00F71E55" w:rsidRPr="00F71E55">
        <w:rPr>
          <w:b/>
          <w:color w:val="auto"/>
        </w:rPr>
        <w:t xml:space="preserve"> </w:t>
      </w:r>
      <w:r w:rsidR="00F71E55" w:rsidRPr="00F71E55">
        <w:rPr>
          <w:color w:val="auto"/>
        </w:rPr>
        <w:t>slipped into future years due to a pause of the project due to COVID 19, the project has now recommenced and community engagement is underway.</w:t>
      </w:r>
    </w:p>
    <w:p w:rsidR="00BF0DF5" w:rsidRPr="00927355" w:rsidRDefault="00BF0DF5" w:rsidP="00F469EE">
      <w:pPr>
        <w:pStyle w:val="ListParagraph"/>
        <w:numPr>
          <w:ilvl w:val="0"/>
          <w:numId w:val="14"/>
        </w:numPr>
        <w:tabs>
          <w:tab w:val="clear" w:pos="426"/>
        </w:tabs>
        <w:ind w:left="1134" w:hanging="425"/>
        <w:rPr>
          <w:b/>
          <w:color w:val="auto"/>
        </w:rPr>
      </w:pPr>
      <w:proofErr w:type="spellStart"/>
      <w:r w:rsidRPr="00F71E55">
        <w:rPr>
          <w:b/>
          <w:color w:val="auto"/>
        </w:rPr>
        <w:t>Seacourt</w:t>
      </w:r>
      <w:proofErr w:type="spellEnd"/>
      <w:r w:rsidRPr="00F71E55">
        <w:rPr>
          <w:b/>
          <w:color w:val="auto"/>
        </w:rPr>
        <w:t xml:space="preserve"> Park &amp; Ride - £0.262 million</w:t>
      </w:r>
      <w:r w:rsidR="00F71E55" w:rsidRPr="00F71E55">
        <w:rPr>
          <w:b/>
          <w:color w:val="auto"/>
        </w:rPr>
        <w:t xml:space="preserve"> </w:t>
      </w:r>
      <w:r w:rsidR="00F71E55" w:rsidRPr="00F71E55">
        <w:rPr>
          <w:color w:val="auto"/>
        </w:rPr>
        <w:t xml:space="preserve">slipped into 2021/22, the project suffered delays due to COVID 19 issues, supply chain issues and </w:t>
      </w:r>
      <w:r w:rsidR="003709AA">
        <w:rPr>
          <w:color w:val="auto"/>
        </w:rPr>
        <w:t>inclement</w:t>
      </w:r>
      <w:r w:rsidR="003709AA" w:rsidRPr="00F71E55">
        <w:rPr>
          <w:color w:val="auto"/>
        </w:rPr>
        <w:t xml:space="preserve"> </w:t>
      </w:r>
      <w:r w:rsidR="00F71E55" w:rsidRPr="00F71E55">
        <w:rPr>
          <w:color w:val="auto"/>
        </w:rPr>
        <w:t xml:space="preserve">weather.  The site is now open and the final retention fee will be payable in </w:t>
      </w:r>
      <w:r w:rsidR="00F13BA9">
        <w:rPr>
          <w:color w:val="auto"/>
        </w:rPr>
        <w:t>20</w:t>
      </w:r>
      <w:r w:rsidR="00F71E55" w:rsidRPr="00927355">
        <w:rPr>
          <w:color w:val="auto"/>
        </w:rPr>
        <w:t>21/22.</w:t>
      </w:r>
    </w:p>
    <w:p w:rsidR="00BF0DF5" w:rsidRPr="00927355" w:rsidRDefault="00BF0DF5" w:rsidP="00F469EE">
      <w:pPr>
        <w:pStyle w:val="ListParagraph"/>
        <w:numPr>
          <w:ilvl w:val="0"/>
          <w:numId w:val="14"/>
        </w:numPr>
        <w:tabs>
          <w:tab w:val="clear" w:pos="426"/>
        </w:tabs>
        <w:ind w:left="1134" w:hanging="425"/>
        <w:rPr>
          <w:b/>
          <w:color w:val="auto"/>
        </w:rPr>
      </w:pPr>
      <w:r w:rsidRPr="00927355">
        <w:rPr>
          <w:b/>
          <w:color w:val="auto"/>
        </w:rPr>
        <w:t>1-3 George Street - £0.292 million</w:t>
      </w:r>
      <w:r w:rsidR="00F71E55" w:rsidRPr="00927355">
        <w:rPr>
          <w:b/>
          <w:color w:val="auto"/>
        </w:rPr>
        <w:t xml:space="preserve"> </w:t>
      </w:r>
      <w:proofErr w:type="gramStart"/>
      <w:r w:rsidR="00F71E55" w:rsidRPr="00927355">
        <w:rPr>
          <w:color w:val="auto"/>
        </w:rPr>
        <w:t>an</w:t>
      </w:r>
      <w:proofErr w:type="gramEnd"/>
      <w:r w:rsidR="00F71E55" w:rsidRPr="00927355">
        <w:rPr>
          <w:color w:val="auto"/>
        </w:rPr>
        <w:t xml:space="preserve"> extension to the programme has been agreed, the operator has been selected and the main contractor has been appointed, project due to complete Dec</w:t>
      </w:r>
      <w:r w:rsidR="00F13BA9">
        <w:rPr>
          <w:color w:val="auto"/>
        </w:rPr>
        <w:t>ember</w:t>
      </w:r>
      <w:r w:rsidR="00F71E55" w:rsidRPr="00927355">
        <w:rPr>
          <w:color w:val="auto"/>
        </w:rPr>
        <w:t xml:space="preserve"> 2021.</w:t>
      </w:r>
    </w:p>
    <w:p w:rsidR="00BF0DF5" w:rsidRPr="00B61C8A" w:rsidRDefault="00BF0DF5" w:rsidP="00F469EE">
      <w:pPr>
        <w:pStyle w:val="ListParagraph"/>
        <w:numPr>
          <w:ilvl w:val="0"/>
          <w:numId w:val="14"/>
        </w:numPr>
        <w:tabs>
          <w:tab w:val="clear" w:pos="426"/>
        </w:tabs>
        <w:ind w:left="1134" w:hanging="425"/>
        <w:rPr>
          <w:b/>
          <w:color w:val="auto"/>
        </w:rPr>
      </w:pPr>
      <w:r w:rsidRPr="00927355">
        <w:rPr>
          <w:b/>
          <w:color w:val="auto"/>
        </w:rPr>
        <w:t>City Cycle Schemes - £0.452 million</w:t>
      </w:r>
      <w:r w:rsidR="00F71E55" w:rsidRPr="00927355">
        <w:rPr>
          <w:b/>
          <w:color w:val="auto"/>
        </w:rPr>
        <w:t xml:space="preserve"> </w:t>
      </w:r>
      <w:r w:rsidR="00927355" w:rsidRPr="00927355">
        <w:rPr>
          <w:color w:val="auto"/>
        </w:rPr>
        <w:t>delays in the project have been due to additional steps being required a</w:t>
      </w:r>
      <w:r w:rsidR="00033248">
        <w:rPr>
          <w:color w:val="auto"/>
        </w:rPr>
        <w:t>t</w:t>
      </w:r>
      <w:r w:rsidR="00927355" w:rsidRPr="00927355">
        <w:rPr>
          <w:color w:val="auto"/>
        </w:rPr>
        <w:t xml:space="preserve"> pre-p</w:t>
      </w:r>
      <w:r w:rsidR="00927355" w:rsidRPr="003911D0">
        <w:rPr>
          <w:color w:val="auto"/>
        </w:rPr>
        <w:t>lanning stage, the project is due to complete in Dec</w:t>
      </w:r>
      <w:r w:rsidR="00F13BA9">
        <w:rPr>
          <w:color w:val="auto"/>
        </w:rPr>
        <w:t xml:space="preserve">ember </w:t>
      </w:r>
      <w:r w:rsidR="00927355" w:rsidRPr="003911D0">
        <w:rPr>
          <w:color w:val="auto"/>
        </w:rPr>
        <w:t>2021.</w:t>
      </w:r>
    </w:p>
    <w:p w:rsidR="00BF0DF5" w:rsidRPr="00B61C8A" w:rsidRDefault="00BF0DF5" w:rsidP="00F469EE">
      <w:pPr>
        <w:pStyle w:val="ListParagraph"/>
        <w:numPr>
          <w:ilvl w:val="0"/>
          <w:numId w:val="14"/>
        </w:numPr>
        <w:tabs>
          <w:tab w:val="clear" w:pos="426"/>
        </w:tabs>
        <w:ind w:left="1134" w:hanging="425"/>
        <w:rPr>
          <w:b/>
          <w:color w:val="auto"/>
        </w:rPr>
      </w:pPr>
      <w:r w:rsidRPr="00B61C8A">
        <w:rPr>
          <w:b/>
          <w:color w:val="auto"/>
        </w:rPr>
        <w:t>R&amp;D Feasibility Funding</w:t>
      </w:r>
      <w:r w:rsidR="00927355" w:rsidRPr="00B61C8A">
        <w:rPr>
          <w:b/>
          <w:color w:val="auto"/>
        </w:rPr>
        <w:t xml:space="preserve"> – </w:t>
      </w:r>
      <w:r w:rsidR="00F13BA9">
        <w:rPr>
          <w:b/>
          <w:color w:val="auto"/>
        </w:rPr>
        <w:t xml:space="preserve">£1.031 million </w:t>
      </w:r>
      <w:r w:rsidR="00927355" w:rsidRPr="00B61C8A">
        <w:rPr>
          <w:color w:val="auto"/>
        </w:rPr>
        <w:t>feasibility funding has been allocated to schemes during the year and these are ongoing, but spend has slipped for many of them due to delays in progressing the feasibility.</w:t>
      </w:r>
    </w:p>
    <w:p w:rsidR="00BF0DF5" w:rsidRPr="00B61C8A" w:rsidRDefault="00BF0DF5" w:rsidP="00F469EE">
      <w:pPr>
        <w:pStyle w:val="ListParagraph"/>
        <w:numPr>
          <w:ilvl w:val="0"/>
          <w:numId w:val="14"/>
        </w:numPr>
        <w:tabs>
          <w:tab w:val="clear" w:pos="426"/>
        </w:tabs>
        <w:ind w:left="1134" w:hanging="425"/>
        <w:rPr>
          <w:b/>
          <w:color w:val="auto"/>
        </w:rPr>
      </w:pPr>
      <w:r w:rsidRPr="00B61C8A">
        <w:rPr>
          <w:b/>
          <w:color w:val="auto"/>
        </w:rPr>
        <w:t xml:space="preserve">Housing Company loans including purchase of Barton properties – </w:t>
      </w:r>
      <w:r w:rsidR="00927355" w:rsidRPr="00B61C8A">
        <w:rPr>
          <w:color w:val="auto"/>
        </w:rPr>
        <w:t xml:space="preserve">during the year there has been a significant amount of movement on the budget due to delays </w:t>
      </w:r>
      <w:r w:rsidR="00AE1942">
        <w:rPr>
          <w:color w:val="auto"/>
        </w:rPr>
        <w:t>in</w:t>
      </w:r>
      <w:r w:rsidR="00927355" w:rsidRPr="00B61C8A">
        <w:rPr>
          <w:color w:val="auto"/>
        </w:rPr>
        <w:t xml:space="preserve"> development, </w:t>
      </w:r>
      <w:r w:rsidR="00AE1942">
        <w:rPr>
          <w:color w:val="auto"/>
        </w:rPr>
        <w:t>arising from</w:t>
      </w:r>
      <w:r w:rsidR="00927355" w:rsidRPr="00B61C8A">
        <w:rPr>
          <w:color w:val="auto"/>
        </w:rPr>
        <w:t xml:space="preserve"> COVID 19</w:t>
      </w:r>
      <w:r w:rsidR="003911D0" w:rsidRPr="00B61C8A">
        <w:rPr>
          <w:color w:val="auto"/>
        </w:rPr>
        <w:t>.</w:t>
      </w:r>
      <w:r w:rsidR="00AE1942">
        <w:rPr>
          <w:color w:val="auto"/>
        </w:rPr>
        <w:t xml:space="preserve"> Overall, including the purchase of the Barton properties, loans drawn down by the company were in line with latest estimates</w:t>
      </w:r>
    </w:p>
    <w:p w:rsidR="00BF0DF5" w:rsidRPr="00B61C8A" w:rsidRDefault="00BF0DF5" w:rsidP="00F469EE">
      <w:pPr>
        <w:pStyle w:val="ListParagraph"/>
        <w:numPr>
          <w:ilvl w:val="0"/>
          <w:numId w:val="14"/>
        </w:numPr>
        <w:tabs>
          <w:tab w:val="clear" w:pos="426"/>
        </w:tabs>
        <w:ind w:left="1134" w:hanging="425"/>
        <w:rPr>
          <w:b/>
          <w:color w:val="auto"/>
        </w:rPr>
      </w:pPr>
      <w:r w:rsidRPr="00B61C8A">
        <w:rPr>
          <w:b/>
          <w:color w:val="auto"/>
        </w:rPr>
        <w:t>Dis</w:t>
      </w:r>
      <w:r w:rsidR="00372F59" w:rsidRPr="00B61C8A">
        <w:rPr>
          <w:b/>
          <w:color w:val="auto"/>
        </w:rPr>
        <w:t>abled facilities grant - £0.233 million</w:t>
      </w:r>
      <w:r w:rsidR="00927355" w:rsidRPr="00B61C8A">
        <w:rPr>
          <w:b/>
          <w:color w:val="auto"/>
        </w:rPr>
        <w:t xml:space="preserve"> </w:t>
      </w:r>
      <w:r w:rsidR="00927355" w:rsidRPr="00B61C8A">
        <w:rPr>
          <w:color w:val="auto"/>
        </w:rPr>
        <w:t>slippage into future years a</w:t>
      </w:r>
      <w:r w:rsidR="003911D0" w:rsidRPr="00B61C8A">
        <w:rPr>
          <w:color w:val="auto"/>
        </w:rPr>
        <w:t>s unable to allocate full budget in year.</w:t>
      </w:r>
    </w:p>
    <w:p w:rsidR="00372F59" w:rsidRPr="006248D8" w:rsidRDefault="00372F59" w:rsidP="00F469EE">
      <w:pPr>
        <w:pStyle w:val="ListParagraph"/>
        <w:numPr>
          <w:ilvl w:val="0"/>
          <w:numId w:val="14"/>
        </w:numPr>
        <w:tabs>
          <w:tab w:val="clear" w:pos="426"/>
        </w:tabs>
        <w:ind w:left="1134" w:hanging="425"/>
        <w:rPr>
          <w:b/>
          <w:color w:val="auto"/>
        </w:rPr>
      </w:pPr>
      <w:r w:rsidRPr="00B61C8A">
        <w:rPr>
          <w:b/>
          <w:color w:val="auto"/>
        </w:rPr>
        <w:t>Go Ultra Low On Street and Taxi - £0.760 million</w:t>
      </w:r>
      <w:r w:rsidR="003911D0" w:rsidRPr="00B61C8A">
        <w:rPr>
          <w:b/>
          <w:color w:val="auto"/>
        </w:rPr>
        <w:t xml:space="preserve"> </w:t>
      </w:r>
      <w:r w:rsidR="003911D0" w:rsidRPr="00B61C8A">
        <w:rPr>
          <w:color w:val="auto"/>
        </w:rPr>
        <w:t xml:space="preserve">slippage, delays to </w:t>
      </w:r>
      <w:r w:rsidR="003911D0" w:rsidRPr="006248D8">
        <w:rPr>
          <w:color w:val="auto"/>
        </w:rPr>
        <w:t>both schemes due to shortage of resources, the On Street project will be re</w:t>
      </w:r>
      <w:r w:rsidR="00033248">
        <w:rPr>
          <w:color w:val="auto"/>
        </w:rPr>
        <w:t>-</w:t>
      </w:r>
      <w:r w:rsidR="003911D0" w:rsidRPr="006248D8">
        <w:rPr>
          <w:color w:val="auto"/>
        </w:rPr>
        <w:t xml:space="preserve">scoped and incorporate learning from other EV projects, the Taxi project has restarted and </w:t>
      </w:r>
      <w:r w:rsidR="00033248">
        <w:rPr>
          <w:color w:val="auto"/>
        </w:rPr>
        <w:t xml:space="preserve">is </w:t>
      </w:r>
      <w:r w:rsidR="003911D0" w:rsidRPr="006248D8">
        <w:rPr>
          <w:color w:val="auto"/>
        </w:rPr>
        <w:t>making good progress.</w:t>
      </w:r>
    </w:p>
    <w:p w:rsidR="00372F59" w:rsidRPr="006248D8" w:rsidRDefault="00372F59" w:rsidP="00F469EE">
      <w:pPr>
        <w:pStyle w:val="ListParagraph"/>
        <w:numPr>
          <w:ilvl w:val="0"/>
          <w:numId w:val="14"/>
        </w:numPr>
        <w:tabs>
          <w:tab w:val="clear" w:pos="426"/>
        </w:tabs>
        <w:ind w:left="1134" w:hanging="425"/>
        <w:rPr>
          <w:b/>
          <w:color w:val="auto"/>
        </w:rPr>
      </w:pPr>
      <w:r w:rsidRPr="006248D8">
        <w:rPr>
          <w:b/>
          <w:color w:val="auto"/>
        </w:rPr>
        <w:t>Clean Bus Technology - £0.564 million</w:t>
      </w:r>
      <w:r w:rsidR="003911D0" w:rsidRPr="006248D8">
        <w:rPr>
          <w:b/>
          <w:color w:val="auto"/>
        </w:rPr>
        <w:t xml:space="preserve"> </w:t>
      </w:r>
      <w:r w:rsidR="003911D0" w:rsidRPr="006248D8">
        <w:rPr>
          <w:color w:val="auto"/>
        </w:rPr>
        <w:t>slippage due to COVID 19 and engineering issues.</w:t>
      </w:r>
    </w:p>
    <w:p w:rsidR="00372F59" w:rsidRPr="006248D8" w:rsidRDefault="00372F59" w:rsidP="00F469EE">
      <w:pPr>
        <w:pStyle w:val="ListParagraph"/>
        <w:numPr>
          <w:ilvl w:val="0"/>
          <w:numId w:val="14"/>
        </w:numPr>
        <w:tabs>
          <w:tab w:val="clear" w:pos="426"/>
        </w:tabs>
        <w:ind w:left="1134" w:hanging="425"/>
        <w:rPr>
          <w:b/>
          <w:color w:val="auto"/>
        </w:rPr>
      </w:pPr>
      <w:r w:rsidRPr="006248D8">
        <w:rPr>
          <w:b/>
          <w:color w:val="auto"/>
        </w:rPr>
        <w:t>MT Vehicles - £0.984 million</w:t>
      </w:r>
      <w:r w:rsidR="003911D0" w:rsidRPr="006248D8">
        <w:rPr>
          <w:b/>
          <w:color w:val="auto"/>
        </w:rPr>
        <w:t xml:space="preserve"> </w:t>
      </w:r>
      <w:r w:rsidR="003911D0" w:rsidRPr="006248D8">
        <w:rPr>
          <w:color w:val="auto"/>
        </w:rPr>
        <w:t>slippage due to delays in the decision making on some of the vehicle replacements, these will carry forward into 2021/22.</w:t>
      </w:r>
    </w:p>
    <w:p w:rsidR="003911D0" w:rsidRPr="006248D8" w:rsidRDefault="00372F59" w:rsidP="00F469EE">
      <w:pPr>
        <w:pStyle w:val="ListParagraph"/>
        <w:numPr>
          <w:ilvl w:val="0"/>
          <w:numId w:val="14"/>
        </w:numPr>
        <w:tabs>
          <w:tab w:val="clear" w:pos="426"/>
        </w:tabs>
        <w:ind w:left="1134" w:hanging="425"/>
        <w:rPr>
          <w:b/>
          <w:color w:val="auto"/>
        </w:rPr>
      </w:pPr>
      <w:r w:rsidRPr="006248D8">
        <w:rPr>
          <w:b/>
          <w:color w:val="auto"/>
        </w:rPr>
        <w:t>Depot Rationalisation - £0.329 million</w:t>
      </w:r>
      <w:r w:rsidR="003911D0" w:rsidRPr="006248D8">
        <w:rPr>
          <w:b/>
          <w:color w:val="auto"/>
        </w:rPr>
        <w:t xml:space="preserve"> – </w:t>
      </w:r>
      <w:r w:rsidR="003911D0" w:rsidRPr="006248D8">
        <w:rPr>
          <w:color w:val="auto"/>
        </w:rPr>
        <w:t>work continues on the outline business case and RIBA Stage 1</w:t>
      </w:r>
      <w:r w:rsidR="00AE1942">
        <w:rPr>
          <w:color w:val="auto"/>
        </w:rPr>
        <w:t>. A report and full business case will be taken back to members before any major spend is committed.</w:t>
      </w:r>
    </w:p>
    <w:p w:rsidR="00372F59" w:rsidRPr="006248D8" w:rsidRDefault="00372F59" w:rsidP="00F469EE">
      <w:pPr>
        <w:pStyle w:val="ListParagraph"/>
        <w:numPr>
          <w:ilvl w:val="0"/>
          <w:numId w:val="14"/>
        </w:numPr>
        <w:tabs>
          <w:tab w:val="clear" w:pos="426"/>
        </w:tabs>
        <w:ind w:left="1134" w:hanging="425"/>
        <w:rPr>
          <w:b/>
          <w:color w:val="auto"/>
        </w:rPr>
      </w:pPr>
      <w:r w:rsidRPr="006248D8">
        <w:rPr>
          <w:b/>
          <w:color w:val="auto"/>
        </w:rPr>
        <w:t>Additional Technology Requirements</w:t>
      </w:r>
      <w:r w:rsidR="00AE1942">
        <w:rPr>
          <w:b/>
          <w:color w:val="auto"/>
        </w:rPr>
        <w:t xml:space="preserve"> - ODS</w:t>
      </w:r>
      <w:r w:rsidRPr="006248D8">
        <w:rPr>
          <w:b/>
          <w:color w:val="auto"/>
        </w:rPr>
        <w:t xml:space="preserve"> - £0.412 million</w:t>
      </w:r>
      <w:r w:rsidR="003911D0" w:rsidRPr="006248D8">
        <w:rPr>
          <w:color w:val="auto"/>
        </w:rPr>
        <w:t xml:space="preserve"> –</w:t>
      </w:r>
      <w:r w:rsidR="00B61C8A" w:rsidRPr="006248D8">
        <w:rPr>
          <w:color w:val="auto"/>
        </w:rPr>
        <w:t xml:space="preserve"> resources have been impacted by COVID 19 and the delayed QL project meaning reduced resource capacity to undertake the new project activity</w:t>
      </w:r>
    </w:p>
    <w:p w:rsidR="008F3DD3" w:rsidRPr="006248D8" w:rsidRDefault="008F3DD3" w:rsidP="00F469EE">
      <w:pPr>
        <w:ind w:left="360" w:firstLine="349"/>
        <w:rPr>
          <w:b/>
          <w:color w:val="auto"/>
        </w:rPr>
      </w:pPr>
      <w:r w:rsidRPr="006248D8">
        <w:rPr>
          <w:b/>
          <w:color w:val="auto"/>
        </w:rPr>
        <w:t>HRA</w:t>
      </w:r>
    </w:p>
    <w:p w:rsidR="00372F59" w:rsidRPr="006248D8" w:rsidRDefault="00372F59" w:rsidP="00372F59">
      <w:pPr>
        <w:pStyle w:val="ListParagraph"/>
        <w:numPr>
          <w:ilvl w:val="0"/>
          <w:numId w:val="15"/>
        </w:numPr>
        <w:rPr>
          <w:b/>
          <w:color w:val="auto"/>
        </w:rPr>
      </w:pPr>
      <w:r w:rsidRPr="006248D8">
        <w:rPr>
          <w:b/>
          <w:color w:val="auto"/>
        </w:rPr>
        <w:t>Tower Blocks - £0.341 million</w:t>
      </w:r>
      <w:r w:rsidR="00746E7C" w:rsidRPr="006248D8">
        <w:rPr>
          <w:b/>
          <w:color w:val="auto"/>
        </w:rPr>
        <w:t xml:space="preserve"> </w:t>
      </w:r>
      <w:r w:rsidR="00746E7C" w:rsidRPr="006248D8">
        <w:rPr>
          <w:color w:val="auto"/>
        </w:rPr>
        <w:t xml:space="preserve">– slippage due to changes in building regulations </w:t>
      </w:r>
      <w:r w:rsidR="00AE1942">
        <w:rPr>
          <w:color w:val="auto"/>
        </w:rPr>
        <w:t xml:space="preserve">relating to cladding </w:t>
      </w:r>
      <w:r w:rsidR="00746E7C" w:rsidRPr="006248D8">
        <w:rPr>
          <w:color w:val="auto"/>
        </w:rPr>
        <w:t xml:space="preserve">leading to changes in design for </w:t>
      </w:r>
      <w:proofErr w:type="spellStart"/>
      <w:r w:rsidR="00746E7C" w:rsidRPr="006248D8">
        <w:rPr>
          <w:color w:val="auto"/>
        </w:rPr>
        <w:t>Hockmore</w:t>
      </w:r>
      <w:proofErr w:type="spellEnd"/>
      <w:r w:rsidR="00746E7C" w:rsidRPr="006248D8">
        <w:rPr>
          <w:color w:val="auto"/>
        </w:rPr>
        <w:t xml:space="preserve"> Tower.</w:t>
      </w:r>
    </w:p>
    <w:p w:rsidR="00372F59" w:rsidRPr="006248D8" w:rsidRDefault="00372F59" w:rsidP="00372F59">
      <w:pPr>
        <w:pStyle w:val="ListParagraph"/>
        <w:numPr>
          <w:ilvl w:val="0"/>
          <w:numId w:val="15"/>
        </w:numPr>
        <w:rPr>
          <w:b/>
          <w:color w:val="auto"/>
        </w:rPr>
      </w:pPr>
      <w:r w:rsidRPr="006248D8">
        <w:rPr>
          <w:b/>
          <w:color w:val="auto"/>
        </w:rPr>
        <w:t>Kitchens and Bathrooms - £0.836 million</w:t>
      </w:r>
      <w:r w:rsidR="00746E7C" w:rsidRPr="006248D8">
        <w:rPr>
          <w:color w:val="auto"/>
        </w:rPr>
        <w:t xml:space="preserve"> – COVID 19 impact because operatives were unable to access tenant</w:t>
      </w:r>
      <w:r w:rsidR="00033248">
        <w:rPr>
          <w:color w:val="auto"/>
        </w:rPr>
        <w:t>’</w:t>
      </w:r>
      <w:r w:rsidR="00746E7C" w:rsidRPr="006248D8">
        <w:rPr>
          <w:color w:val="auto"/>
        </w:rPr>
        <w:t>s homes to make replacements, the programme has now been smoothed over a 21 month period</w:t>
      </w:r>
      <w:r w:rsidR="00033248">
        <w:rPr>
          <w:color w:val="auto"/>
        </w:rPr>
        <w:t>.</w:t>
      </w:r>
    </w:p>
    <w:p w:rsidR="00372F59" w:rsidRPr="006248D8" w:rsidRDefault="00372F59" w:rsidP="00372F59">
      <w:pPr>
        <w:pStyle w:val="ListParagraph"/>
        <w:numPr>
          <w:ilvl w:val="0"/>
          <w:numId w:val="15"/>
        </w:numPr>
        <w:rPr>
          <w:b/>
          <w:color w:val="auto"/>
        </w:rPr>
      </w:pPr>
      <w:r w:rsidRPr="006248D8">
        <w:rPr>
          <w:b/>
          <w:color w:val="auto"/>
        </w:rPr>
        <w:lastRenderedPageBreak/>
        <w:t>Roofing - £0.349 million</w:t>
      </w:r>
      <w:r w:rsidR="00746E7C" w:rsidRPr="006248D8">
        <w:rPr>
          <w:b/>
          <w:color w:val="auto"/>
        </w:rPr>
        <w:t xml:space="preserve"> – </w:t>
      </w:r>
      <w:r w:rsidR="00746E7C" w:rsidRPr="006248D8">
        <w:rPr>
          <w:color w:val="auto"/>
        </w:rPr>
        <w:t>delayed due material supplies affected by COVID 19</w:t>
      </w:r>
      <w:r w:rsidR="006248D8" w:rsidRPr="006248D8">
        <w:rPr>
          <w:color w:val="auto"/>
        </w:rPr>
        <w:t>, the programme will roll into April 2021.</w:t>
      </w:r>
    </w:p>
    <w:p w:rsidR="00372F59" w:rsidRPr="006248D8" w:rsidRDefault="00372F59" w:rsidP="00372F59">
      <w:pPr>
        <w:pStyle w:val="ListParagraph"/>
        <w:numPr>
          <w:ilvl w:val="0"/>
          <w:numId w:val="15"/>
        </w:numPr>
        <w:rPr>
          <w:b/>
          <w:color w:val="auto"/>
        </w:rPr>
      </w:pPr>
      <w:r w:rsidRPr="006248D8">
        <w:rPr>
          <w:b/>
          <w:color w:val="auto"/>
        </w:rPr>
        <w:t>Energy Efficiency Initiatives - £0.301 million</w:t>
      </w:r>
      <w:r w:rsidR="006248D8" w:rsidRPr="006248D8">
        <w:rPr>
          <w:color w:val="auto"/>
        </w:rPr>
        <w:t xml:space="preserve"> – slippage into future years</w:t>
      </w:r>
      <w:r w:rsidR="00033248">
        <w:rPr>
          <w:color w:val="auto"/>
        </w:rPr>
        <w:t>.</w:t>
      </w:r>
    </w:p>
    <w:p w:rsidR="00372F59" w:rsidRPr="006248D8" w:rsidRDefault="00372F59" w:rsidP="00372F59">
      <w:pPr>
        <w:pStyle w:val="ListParagraph"/>
        <w:numPr>
          <w:ilvl w:val="0"/>
          <w:numId w:val="15"/>
        </w:numPr>
        <w:rPr>
          <w:b/>
          <w:color w:val="auto"/>
        </w:rPr>
      </w:pPr>
      <w:r w:rsidRPr="006248D8">
        <w:rPr>
          <w:b/>
          <w:color w:val="auto"/>
        </w:rPr>
        <w:t>Social Rented Housing Ac</w:t>
      </w:r>
      <w:r w:rsidR="006248D8" w:rsidRPr="006248D8">
        <w:rPr>
          <w:b/>
          <w:color w:val="auto"/>
        </w:rPr>
        <w:t>quisitions - £1.003 million</w:t>
      </w:r>
      <w:r w:rsidR="006248D8" w:rsidRPr="006248D8">
        <w:rPr>
          <w:color w:val="auto"/>
        </w:rPr>
        <w:t xml:space="preserve"> brought forward from future years, budget is flexed in line with spend, as spend relates to purchase of properties and it is difficult to know when this will be.</w:t>
      </w:r>
    </w:p>
    <w:p w:rsidR="00372F59" w:rsidRPr="006248D8" w:rsidRDefault="00372F59" w:rsidP="00372F59">
      <w:pPr>
        <w:pStyle w:val="ListParagraph"/>
        <w:numPr>
          <w:ilvl w:val="0"/>
          <w:numId w:val="15"/>
        </w:numPr>
        <w:rPr>
          <w:b/>
          <w:color w:val="auto"/>
        </w:rPr>
      </w:pPr>
      <w:r w:rsidRPr="006248D8">
        <w:rPr>
          <w:b/>
          <w:color w:val="auto"/>
        </w:rPr>
        <w:t>Properties purchased from OCHL - £1.298 million</w:t>
      </w:r>
      <w:r w:rsidR="006248D8" w:rsidRPr="006248D8">
        <w:rPr>
          <w:b/>
          <w:color w:val="auto"/>
        </w:rPr>
        <w:t xml:space="preserve"> – </w:t>
      </w:r>
      <w:r w:rsidR="006248D8" w:rsidRPr="006248D8">
        <w:rPr>
          <w:color w:val="auto"/>
        </w:rPr>
        <w:t>no properties were purchased in 20</w:t>
      </w:r>
      <w:r w:rsidR="00AE1942">
        <w:rPr>
          <w:color w:val="auto"/>
        </w:rPr>
        <w:t>20</w:t>
      </w:r>
      <w:r w:rsidR="006248D8" w:rsidRPr="006248D8">
        <w:rPr>
          <w:color w:val="auto"/>
        </w:rPr>
        <w:t>/21 due to delays in development</w:t>
      </w:r>
      <w:r w:rsidR="00AE1942">
        <w:rPr>
          <w:color w:val="auto"/>
        </w:rPr>
        <w:t>s</w:t>
      </w:r>
      <w:r w:rsidR="006248D8" w:rsidRPr="006248D8">
        <w:rPr>
          <w:color w:val="auto"/>
        </w:rPr>
        <w:t xml:space="preserve"> by OCHL.</w:t>
      </w:r>
    </w:p>
    <w:p w:rsidR="00372F59" w:rsidRPr="006248D8" w:rsidRDefault="00372F59" w:rsidP="00372F59">
      <w:pPr>
        <w:pStyle w:val="ListParagraph"/>
        <w:numPr>
          <w:ilvl w:val="0"/>
          <w:numId w:val="15"/>
        </w:numPr>
        <w:rPr>
          <w:b/>
          <w:color w:val="auto"/>
        </w:rPr>
      </w:pPr>
      <w:r w:rsidRPr="006248D8">
        <w:rPr>
          <w:b/>
          <w:color w:val="auto"/>
        </w:rPr>
        <w:t>Heating Systems - £0.233 million</w:t>
      </w:r>
      <w:r w:rsidR="006248D8" w:rsidRPr="006248D8">
        <w:rPr>
          <w:b/>
          <w:color w:val="auto"/>
        </w:rPr>
        <w:t xml:space="preserve"> - </w:t>
      </w:r>
      <w:r w:rsidR="006248D8" w:rsidRPr="006248D8">
        <w:rPr>
          <w:color w:val="auto"/>
        </w:rPr>
        <w:t xml:space="preserve">COVID 19 impact because operatives were unable to access </w:t>
      </w:r>
      <w:r w:rsidR="00033248" w:rsidRPr="006248D8">
        <w:rPr>
          <w:color w:val="auto"/>
        </w:rPr>
        <w:t>tenant’s</w:t>
      </w:r>
      <w:r w:rsidR="006248D8" w:rsidRPr="006248D8">
        <w:rPr>
          <w:color w:val="auto"/>
        </w:rPr>
        <w:t xml:space="preserve"> homes.</w:t>
      </w:r>
    </w:p>
    <w:p w:rsidR="00372F59" w:rsidRPr="00F469EE" w:rsidRDefault="00372F59" w:rsidP="00372F59">
      <w:pPr>
        <w:pStyle w:val="ListParagraph"/>
        <w:numPr>
          <w:ilvl w:val="0"/>
          <w:numId w:val="15"/>
        </w:numPr>
        <w:rPr>
          <w:b/>
          <w:color w:val="auto"/>
        </w:rPr>
      </w:pPr>
      <w:r w:rsidRPr="004D3B4C">
        <w:rPr>
          <w:b/>
          <w:color w:val="auto"/>
        </w:rPr>
        <w:t>Next Steps Accommodation Programme - £0.601 million</w:t>
      </w:r>
      <w:r w:rsidR="006248D8" w:rsidRPr="004D3B4C">
        <w:rPr>
          <w:b/>
          <w:color w:val="auto"/>
        </w:rPr>
        <w:t xml:space="preserve"> – </w:t>
      </w:r>
      <w:r w:rsidR="006248D8" w:rsidRPr="004D3B4C">
        <w:rPr>
          <w:color w:val="auto"/>
        </w:rPr>
        <w:t>slippage due to difficulty buying one bed flats accompanied with conveyancing issues.</w:t>
      </w:r>
    </w:p>
    <w:p w:rsidR="00F469EE" w:rsidRPr="004D3B4C" w:rsidRDefault="00F469EE" w:rsidP="00F469EE">
      <w:pPr>
        <w:pStyle w:val="ListParagraph"/>
        <w:numPr>
          <w:ilvl w:val="0"/>
          <w:numId w:val="0"/>
        </w:numPr>
        <w:ind w:left="1080"/>
        <w:rPr>
          <w:b/>
          <w:color w:val="auto"/>
        </w:rPr>
      </w:pPr>
    </w:p>
    <w:p w:rsidR="004D3B4C" w:rsidRPr="00F469EE" w:rsidRDefault="00AE1942" w:rsidP="0062626A">
      <w:pPr>
        <w:pStyle w:val="ListParagraph"/>
        <w:numPr>
          <w:ilvl w:val="0"/>
          <w:numId w:val="0"/>
        </w:numPr>
        <w:tabs>
          <w:tab w:val="clear" w:pos="426"/>
        </w:tabs>
        <w:ind w:left="786"/>
        <w:rPr>
          <w:b/>
        </w:rPr>
      </w:pPr>
      <w:r w:rsidRPr="00F469EE">
        <w:rPr>
          <w:b/>
        </w:rPr>
        <w:t>Oxford Housing and Growth Deal (OGD)</w:t>
      </w:r>
    </w:p>
    <w:p w:rsidR="004D3B4C" w:rsidRPr="0062626A" w:rsidRDefault="004D3B4C" w:rsidP="0062626A">
      <w:pPr>
        <w:pStyle w:val="ListParagraph"/>
        <w:numPr>
          <w:ilvl w:val="0"/>
          <w:numId w:val="34"/>
        </w:numPr>
        <w:tabs>
          <w:tab w:val="clear" w:pos="426"/>
        </w:tabs>
        <w:ind w:hanging="786"/>
        <w:rPr>
          <w:color w:val="auto"/>
        </w:rPr>
      </w:pPr>
      <w:r w:rsidRPr="0062626A">
        <w:rPr>
          <w:color w:val="auto"/>
        </w:rPr>
        <w:t xml:space="preserve">Additional Oxford Growth Deal Grant has been awarded to fund three further schemes detailed in the table below and previously reported to Cabinet in October 2020.  Additional capital budget </w:t>
      </w:r>
      <w:r w:rsidR="00623418" w:rsidRPr="0062626A">
        <w:rPr>
          <w:color w:val="auto"/>
        </w:rPr>
        <w:t xml:space="preserve">of £4.984 million together </w:t>
      </w:r>
      <w:r w:rsidR="0026625F" w:rsidRPr="0062626A">
        <w:rPr>
          <w:color w:val="auto"/>
        </w:rPr>
        <w:t>with associated</w:t>
      </w:r>
      <w:r w:rsidR="00623418" w:rsidRPr="0062626A">
        <w:rPr>
          <w:color w:val="auto"/>
        </w:rPr>
        <w:t xml:space="preserve"> project approval </w:t>
      </w:r>
      <w:r w:rsidRPr="0062626A">
        <w:rPr>
          <w:color w:val="auto"/>
        </w:rPr>
        <w:t xml:space="preserve">is required to allow </w:t>
      </w:r>
      <w:proofErr w:type="gramStart"/>
      <w:r w:rsidRPr="0062626A">
        <w:rPr>
          <w:color w:val="auto"/>
        </w:rPr>
        <w:t>the spend</w:t>
      </w:r>
      <w:proofErr w:type="gramEnd"/>
      <w:r w:rsidRPr="0062626A">
        <w:rPr>
          <w:color w:val="auto"/>
        </w:rPr>
        <w:t xml:space="preserve"> of this grant </w:t>
      </w:r>
      <w:r w:rsidR="00AE1942" w:rsidRPr="0062626A">
        <w:rPr>
          <w:color w:val="auto"/>
        </w:rPr>
        <w:t>in 2021-22</w:t>
      </w:r>
      <w:r w:rsidR="00623418" w:rsidRPr="0062626A">
        <w:rPr>
          <w:color w:val="auto"/>
        </w:rPr>
        <w:t>, the bulk of which will be in quarter 2 of 2021-22</w:t>
      </w:r>
      <w:r w:rsidR="00AE1942" w:rsidRPr="0062626A">
        <w:rPr>
          <w:color w:val="auto"/>
        </w:rPr>
        <w:t>.</w:t>
      </w:r>
      <w:r w:rsidR="00623418" w:rsidRPr="0062626A">
        <w:rPr>
          <w:color w:val="auto"/>
        </w:rPr>
        <w:t xml:space="preserve"> </w:t>
      </w:r>
    </w:p>
    <w:p w:rsidR="004D3B4C" w:rsidRDefault="004D3B4C" w:rsidP="004D3B4C">
      <w:pPr>
        <w:pStyle w:val="ListParagraph"/>
        <w:numPr>
          <w:ilvl w:val="0"/>
          <w:numId w:val="0"/>
        </w:numPr>
        <w:ind w:left="786"/>
        <w:rPr>
          <w:color w:val="FF0000"/>
        </w:rPr>
      </w:pPr>
      <w:r w:rsidRPr="00343DE8">
        <w:rPr>
          <w:noProof/>
        </w:rPr>
        <w:drawing>
          <wp:inline distT="0" distB="0" distL="0" distR="0" wp14:anchorId="64424146" wp14:editId="5CCF0EDE">
            <wp:extent cx="5904230" cy="139065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4230" cy="1390650"/>
                    </a:xfrm>
                    <a:prstGeom prst="rect">
                      <a:avLst/>
                    </a:prstGeom>
                    <a:noFill/>
                    <a:ln>
                      <a:noFill/>
                    </a:ln>
                  </pic:spPr>
                </pic:pic>
              </a:graphicData>
            </a:graphic>
          </wp:inline>
        </w:drawing>
      </w:r>
    </w:p>
    <w:p w:rsidR="004D3B4C" w:rsidRDefault="004D3B4C" w:rsidP="004D3B4C">
      <w:pPr>
        <w:rPr>
          <w:b/>
          <w:color w:val="FF0000"/>
        </w:rPr>
      </w:pPr>
    </w:p>
    <w:p w:rsidR="00D35756" w:rsidRPr="0049066A" w:rsidRDefault="009559D8" w:rsidP="0062626A">
      <w:pPr>
        <w:pStyle w:val="ListParagraph"/>
        <w:numPr>
          <w:ilvl w:val="0"/>
          <w:numId w:val="0"/>
        </w:numPr>
        <w:tabs>
          <w:tab w:val="clear" w:pos="426"/>
        </w:tabs>
        <w:ind w:left="786"/>
        <w:rPr>
          <w:b/>
        </w:rPr>
      </w:pPr>
      <w:r w:rsidRPr="0049066A">
        <w:rPr>
          <w:b/>
        </w:rPr>
        <w:t>Financial implications</w:t>
      </w:r>
    </w:p>
    <w:p w:rsidR="004F260A" w:rsidRPr="0049066A" w:rsidRDefault="004F260A" w:rsidP="0049066A">
      <w:pPr>
        <w:pStyle w:val="ListParagraph"/>
        <w:tabs>
          <w:tab w:val="clear" w:pos="426"/>
        </w:tabs>
        <w:ind w:hanging="786"/>
      </w:pPr>
      <w:r w:rsidRPr="0049066A">
        <w:t>All financial implications are covered in the body of this report and the</w:t>
      </w:r>
      <w:r w:rsidR="0049066A" w:rsidRPr="0049066A">
        <w:t xml:space="preserve"> </w:t>
      </w:r>
      <w:r w:rsidRPr="0049066A">
        <w:t>Appendices.</w:t>
      </w:r>
    </w:p>
    <w:p w:rsidR="0040736F" w:rsidRPr="0049066A" w:rsidRDefault="00DA614B" w:rsidP="0062626A">
      <w:pPr>
        <w:pStyle w:val="ListParagraph"/>
        <w:numPr>
          <w:ilvl w:val="0"/>
          <w:numId w:val="0"/>
        </w:numPr>
        <w:tabs>
          <w:tab w:val="clear" w:pos="426"/>
        </w:tabs>
        <w:ind w:left="786"/>
        <w:rPr>
          <w:b/>
        </w:rPr>
      </w:pPr>
      <w:r w:rsidRPr="0049066A">
        <w:rPr>
          <w:b/>
        </w:rPr>
        <w:t>Legal issues</w:t>
      </w:r>
    </w:p>
    <w:p w:rsidR="00E87F7A" w:rsidRDefault="00256350" w:rsidP="0049066A">
      <w:pPr>
        <w:pStyle w:val="ListParagraph"/>
        <w:tabs>
          <w:tab w:val="clear" w:pos="426"/>
        </w:tabs>
        <w:ind w:hanging="786"/>
        <w:rPr>
          <w:color w:val="auto"/>
        </w:rPr>
      </w:pPr>
      <w:r w:rsidRPr="004D3B4C">
        <w:rPr>
          <w:color w:val="auto"/>
        </w:rPr>
        <w:t>There are no legal implications directly relevant to this report</w:t>
      </w:r>
      <w:r w:rsidR="00E87F7A" w:rsidRPr="004D3B4C">
        <w:rPr>
          <w:color w:val="auto"/>
        </w:rPr>
        <w:t>.</w:t>
      </w:r>
    </w:p>
    <w:p w:rsidR="0049066A" w:rsidRPr="004D3B4C" w:rsidRDefault="0049066A" w:rsidP="0049066A">
      <w:pPr>
        <w:pStyle w:val="ListParagraph"/>
        <w:numPr>
          <w:ilvl w:val="0"/>
          <w:numId w:val="0"/>
        </w:numPr>
        <w:tabs>
          <w:tab w:val="clear" w:pos="426"/>
        </w:tabs>
        <w:ind w:left="786"/>
        <w:rPr>
          <w:color w:val="auto"/>
        </w:rPr>
      </w:pPr>
    </w:p>
    <w:p w:rsidR="002329CF" w:rsidRPr="0049066A" w:rsidRDefault="002329CF" w:rsidP="0062626A">
      <w:pPr>
        <w:pStyle w:val="ListParagraph"/>
        <w:numPr>
          <w:ilvl w:val="0"/>
          <w:numId w:val="0"/>
        </w:numPr>
        <w:tabs>
          <w:tab w:val="clear" w:pos="426"/>
        </w:tabs>
        <w:ind w:left="786"/>
        <w:rPr>
          <w:b/>
        </w:rPr>
      </w:pPr>
      <w:r w:rsidRPr="0049066A">
        <w:rPr>
          <w:b/>
        </w:rPr>
        <w:t>Level of risk</w:t>
      </w:r>
    </w:p>
    <w:p w:rsidR="00BC69A4" w:rsidRDefault="00256350" w:rsidP="0049066A">
      <w:pPr>
        <w:pStyle w:val="ListParagraph"/>
        <w:tabs>
          <w:tab w:val="clear" w:pos="426"/>
        </w:tabs>
        <w:ind w:hanging="786"/>
        <w:rPr>
          <w:color w:val="auto"/>
        </w:rPr>
      </w:pPr>
      <w:r w:rsidRPr="004D3B4C">
        <w:rPr>
          <w:color w:val="auto"/>
        </w:rPr>
        <w:t>All risk implications are covered in the body of this report and the Appendices.</w:t>
      </w:r>
    </w:p>
    <w:p w:rsidR="0049066A" w:rsidRPr="004D3B4C" w:rsidRDefault="0049066A" w:rsidP="0049066A">
      <w:pPr>
        <w:pStyle w:val="ListParagraph"/>
        <w:numPr>
          <w:ilvl w:val="0"/>
          <w:numId w:val="0"/>
        </w:numPr>
        <w:tabs>
          <w:tab w:val="clear" w:pos="426"/>
        </w:tabs>
        <w:ind w:left="786"/>
        <w:rPr>
          <w:color w:val="auto"/>
        </w:rPr>
      </w:pPr>
    </w:p>
    <w:p w:rsidR="002329CF" w:rsidRPr="0049066A" w:rsidRDefault="002329CF" w:rsidP="0062626A">
      <w:pPr>
        <w:pStyle w:val="ListParagraph"/>
        <w:numPr>
          <w:ilvl w:val="0"/>
          <w:numId w:val="0"/>
        </w:numPr>
        <w:tabs>
          <w:tab w:val="clear" w:pos="426"/>
        </w:tabs>
        <w:ind w:left="786"/>
        <w:rPr>
          <w:b/>
        </w:rPr>
      </w:pPr>
      <w:r w:rsidRPr="0049066A">
        <w:rPr>
          <w:b/>
        </w:rPr>
        <w:t xml:space="preserve">Equalities impact </w:t>
      </w:r>
    </w:p>
    <w:p w:rsidR="00E206D6" w:rsidRPr="004D3B4C" w:rsidRDefault="00256350" w:rsidP="0049066A">
      <w:pPr>
        <w:pStyle w:val="ListParagraph"/>
        <w:tabs>
          <w:tab w:val="clear" w:pos="426"/>
        </w:tabs>
        <w:ind w:hanging="786"/>
        <w:rPr>
          <w:color w:val="auto"/>
        </w:rPr>
      </w:pPr>
      <w:r w:rsidRPr="004D3B4C">
        <w:rPr>
          <w:color w:val="auto"/>
        </w:rPr>
        <w:t>There are no equalities impacts arising directly from this report.</w:t>
      </w:r>
    </w:p>
    <w:p w:rsidR="002329CF" w:rsidRPr="004D3B4C" w:rsidRDefault="002329CF" w:rsidP="004A6D2F">
      <w:pPr>
        <w:rPr>
          <w:color w:val="auto"/>
        </w:rPr>
      </w:pPr>
    </w:p>
    <w:tbl>
      <w:tblPr>
        <w:tblW w:w="0" w:type="auto"/>
        <w:tblInd w:w="108" w:type="dxa"/>
        <w:tblBorders>
          <w:top w:val="single" w:sz="4" w:space="0" w:color="C0504D"/>
          <w:left w:val="single" w:sz="4" w:space="0" w:color="C0504D"/>
          <w:bottom w:val="single" w:sz="4" w:space="0" w:color="C0504D"/>
          <w:right w:val="single" w:sz="4" w:space="0" w:color="C0504D"/>
        </w:tblBorders>
        <w:tblLook w:val="04A0" w:firstRow="1" w:lastRow="0" w:firstColumn="1" w:lastColumn="0" w:noHBand="0" w:noVBand="1"/>
      </w:tblPr>
      <w:tblGrid>
        <w:gridCol w:w="3969"/>
        <w:gridCol w:w="4962"/>
      </w:tblGrid>
      <w:tr w:rsidR="004D3B4C" w:rsidRPr="004D3B4C" w:rsidTr="00A46E98">
        <w:trPr>
          <w:cantSplit/>
          <w:trHeight w:val="396"/>
        </w:trPr>
        <w:tc>
          <w:tcPr>
            <w:tcW w:w="3969" w:type="dxa"/>
            <w:tcBorders>
              <w:top w:val="single" w:sz="8" w:space="0" w:color="000000"/>
              <w:left w:val="single" w:sz="8" w:space="0" w:color="000000"/>
              <w:bottom w:val="single" w:sz="8" w:space="0" w:color="000000"/>
              <w:right w:val="nil"/>
            </w:tcBorders>
            <w:shd w:val="clear" w:color="auto" w:fill="auto"/>
          </w:tcPr>
          <w:p w:rsidR="00E87F7A" w:rsidRPr="004D3B4C" w:rsidRDefault="00E87F7A" w:rsidP="00A46E98">
            <w:pPr>
              <w:rPr>
                <w:b/>
                <w:color w:val="auto"/>
              </w:rPr>
            </w:pPr>
            <w:r w:rsidRPr="004D3B4C">
              <w:rPr>
                <w:b/>
                <w:color w:val="auto"/>
              </w:rPr>
              <w:lastRenderedPageBreak/>
              <w:t>Report author</w:t>
            </w:r>
          </w:p>
        </w:tc>
        <w:tc>
          <w:tcPr>
            <w:tcW w:w="4962" w:type="dxa"/>
            <w:tcBorders>
              <w:top w:val="single" w:sz="8" w:space="0" w:color="000000"/>
              <w:left w:val="nil"/>
              <w:bottom w:val="single" w:sz="8" w:space="0" w:color="000000"/>
              <w:right w:val="single" w:sz="8" w:space="0" w:color="000000"/>
            </w:tcBorders>
            <w:shd w:val="clear" w:color="auto" w:fill="auto"/>
          </w:tcPr>
          <w:p w:rsidR="00E87F7A" w:rsidRPr="004D3B4C" w:rsidRDefault="00256350" w:rsidP="00A46E98">
            <w:pPr>
              <w:rPr>
                <w:color w:val="auto"/>
              </w:rPr>
            </w:pPr>
            <w:r w:rsidRPr="004D3B4C">
              <w:rPr>
                <w:color w:val="auto"/>
              </w:rPr>
              <w:t xml:space="preserve">Nigel Kennedy </w:t>
            </w:r>
          </w:p>
          <w:p w:rsidR="00256350" w:rsidRPr="004D3B4C" w:rsidRDefault="00256350" w:rsidP="00256350">
            <w:pPr>
              <w:rPr>
                <w:color w:val="auto"/>
              </w:rPr>
            </w:pPr>
          </w:p>
        </w:tc>
      </w:tr>
      <w:tr w:rsidR="004D3B4C" w:rsidRPr="004D3B4C" w:rsidTr="00A46E98">
        <w:trPr>
          <w:cantSplit/>
          <w:trHeight w:val="396"/>
        </w:trPr>
        <w:tc>
          <w:tcPr>
            <w:tcW w:w="3969" w:type="dxa"/>
            <w:tcBorders>
              <w:top w:val="single" w:sz="8" w:space="0" w:color="000000"/>
              <w:left w:val="single" w:sz="8" w:space="0" w:color="000000"/>
              <w:bottom w:val="nil"/>
              <w:right w:val="nil"/>
            </w:tcBorders>
            <w:shd w:val="clear" w:color="auto" w:fill="auto"/>
          </w:tcPr>
          <w:p w:rsidR="00E87F7A" w:rsidRPr="004D3B4C" w:rsidRDefault="00E87F7A" w:rsidP="00A46E98">
            <w:pPr>
              <w:rPr>
                <w:color w:val="auto"/>
              </w:rPr>
            </w:pPr>
            <w:r w:rsidRPr="004D3B4C">
              <w:rPr>
                <w:color w:val="auto"/>
              </w:rPr>
              <w:t>Job title</w:t>
            </w:r>
          </w:p>
        </w:tc>
        <w:tc>
          <w:tcPr>
            <w:tcW w:w="4962" w:type="dxa"/>
            <w:tcBorders>
              <w:top w:val="single" w:sz="8" w:space="0" w:color="000000"/>
              <w:left w:val="nil"/>
              <w:bottom w:val="nil"/>
              <w:right w:val="single" w:sz="8" w:space="0" w:color="000000"/>
            </w:tcBorders>
            <w:shd w:val="clear" w:color="auto" w:fill="auto"/>
          </w:tcPr>
          <w:p w:rsidR="00E87F7A" w:rsidRPr="004D3B4C" w:rsidRDefault="00256350" w:rsidP="00A46E98">
            <w:pPr>
              <w:rPr>
                <w:color w:val="auto"/>
              </w:rPr>
            </w:pPr>
            <w:r w:rsidRPr="004D3B4C">
              <w:rPr>
                <w:color w:val="auto"/>
              </w:rPr>
              <w:t>Head of Financial Services</w:t>
            </w:r>
          </w:p>
          <w:p w:rsidR="00256350" w:rsidRPr="004D3B4C" w:rsidRDefault="00256350" w:rsidP="00A46E98">
            <w:pPr>
              <w:rPr>
                <w:color w:val="auto"/>
              </w:rPr>
            </w:pPr>
          </w:p>
        </w:tc>
      </w:tr>
      <w:tr w:rsidR="004D3B4C" w:rsidRPr="004D3B4C" w:rsidTr="00A46E98">
        <w:trPr>
          <w:cantSplit/>
          <w:trHeight w:val="396"/>
        </w:trPr>
        <w:tc>
          <w:tcPr>
            <w:tcW w:w="3969" w:type="dxa"/>
            <w:tcBorders>
              <w:top w:val="nil"/>
              <w:left w:val="single" w:sz="8" w:space="0" w:color="000000"/>
              <w:bottom w:val="nil"/>
              <w:right w:val="nil"/>
            </w:tcBorders>
            <w:shd w:val="clear" w:color="auto" w:fill="auto"/>
          </w:tcPr>
          <w:p w:rsidR="00E87F7A" w:rsidRPr="004D3B4C" w:rsidRDefault="00E87F7A" w:rsidP="00A46E98">
            <w:pPr>
              <w:rPr>
                <w:color w:val="auto"/>
              </w:rPr>
            </w:pPr>
            <w:r w:rsidRPr="004D3B4C">
              <w:rPr>
                <w:color w:val="auto"/>
              </w:rPr>
              <w:t>Service area or department</w:t>
            </w:r>
          </w:p>
        </w:tc>
        <w:tc>
          <w:tcPr>
            <w:tcW w:w="4962" w:type="dxa"/>
            <w:tcBorders>
              <w:top w:val="nil"/>
              <w:left w:val="nil"/>
              <w:bottom w:val="nil"/>
              <w:right w:val="single" w:sz="8" w:space="0" w:color="000000"/>
            </w:tcBorders>
            <w:shd w:val="clear" w:color="auto" w:fill="auto"/>
          </w:tcPr>
          <w:p w:rsidR="00E87F7A" w:rsidRPr="004D3B4C" w:rsidRDefault="00256350" w:rsidP="00D35756">
            <w:pPr>
              <w:rPr>
                <w:color w:val="auto"/>
              </w:rPr>
            </w:pPr>
            <w:r w:rsidRPr="004D3B4C">
              <w:rPr>
                <w:color w:val="auto"/>
              </w:rPr>
              <w:t>Financial Services</w:t>
            </w:r>
          </w:p>
        </w:tc>
      </w:tr>
      <w:tr w:rsidR="004D3B4C" w:rsidRPr="004D3B4C" w:rsidTr="00A46E98">
        <w:trPr>
          <w:cantSplit/>
          <w:trHeight w:val="396"/>
        </w:trPr>
        <w:tc>
          <w:tcPr>
            <w:tcW w:w="3969" w:type="dxa"/>
            <w:tcBorders>
              <w:top w:val="nil"/>
              <w:left w:val="single" w:sz="8" w:space="0" w:color="000000"/>
              <w:bottom w:val="nil"/>
              <w:right w:val="nil"/>
            </w:tcBorders>
            <w:shd w:val="clear" w:color="auto" w:fill="auto"/>
          </w:tcPr>
          <w:p w:rsidR="00E87F7A" w:rsidRPr="004D3B4C" w:rsidRDefault="00E87F7A" w:rsidP="00A46E98">
            <w:pPr>
              <w:rPr>
                <w:color w:val="auto"/>
              </w:rPr>
            </w:pPr>
            <w:r w:rsidRPr="004D3B4C">
              <w:rPr>
                <w:color w:val="auto"/>
              </w:rPr>
              <w:t xml:space="preserve">Telephone </w:t>
            </w:r>
          </w:p>
        </w:tc>
        <w:tc>
          <w:tcPr>
            <w:tcW w:w="4962" w:type="dxa"/>
            <w:tcBorders>
              <w:top w:val="nil"/>
              <w:left w:val="nil"/>
              <w:bottom w:val="nil"/>
              <w:right w:val="single" w:sz="8" w:space="0" w:color="000000"/>
            </w:tcBorders>
            <w:shd w:val="clear" w:color="auto" w:fill="auto"/>
          </w:tcPr>
          <w:p w:rsidR="00E87F7A" w:rsidRPr="004D3B4C" w:rsidRDefault="00256350" w:rsidP="00256350">
            <w:pPr>
              <w:rPr>
                <w:color w:val="auto"/>
              </w:rPr>
            </w:pPr>
            <w:r w:rsidRPr="004D3B4C">
              <w:rPr>
                <w:color w:val="auto"/>
              </w:rPr>
              <w:t>01865 252708</w:t>
            </w:r>
            <w:r w:rsidR="00E87F7A" w:rsidRPr="004D3B4C">
              <w:rPr>
                <w:color w:val="auto"/>
              </w:rPr>
              <w:t xml:space="preserve">  </w:t>
            </w:r>
          </w:p>
        </w:tc>
      </w:tr>
      <w:tr w:rsidR="003F4964" w:rsidRPr="004D3B4C" w:rsidTr="00A46E98">
        <w:trPr>
          <w:cantSplit/>
          <w:trHeight w:val="396"/>
        </w:trPr>
        <w:tc>
          <w:tcPr>
            <w:tcW w:w="3969" w:type="dxa"/>
            <w:tcBorders>
              <w:top w:val="nil"/>
              <w:left w:val="single" w:sz="8" w:space="0" w:color="000000"/>
              <w:bottom w:val="single" w:sz="8" w:space="0" w:color="000000"/>
              <w:right w:val="nil"/>
            </w:tcBorders>
            <w:shd w:val="clear" w:color="auto" w:fill="auto"/>
          </w:tcPr>
          <w:p w:rsidR="00E87F7A" w:rsidRPr="004D3B4C" w:rsidRDefault="00E87F7A" w:rsidP="00A46E98">
            <w:pPr>
              <w:rPr>
                <w:color w:val="auto"/>
              </w:rPr>
            </w:pPr>
            <w:r w:rsidRPr="004D3B4C">
              <w:rPr>
                <w:color w:val="auto"/>
              </w:rPr>
              <w:t xml:space="preserve">e-mail </w:t>
            </w:r>
          </w:p>
        </w:tc>
        <w:tc>
          <w:tcPr>
            <w:tcW w:w="4962" w:type="dxa"/>
            <w:tcBorders>
              <w:top w:val="nil"/>
              <w:left w:val="nil"/>
              <w:bottom w:val="single" w:sz="8" w:space="0" w:color="000000"/>
              <w:right w:val="single" w:sz="8" w:space="0" w:color="000000"/>
            </w:tcBorders>
            <w:shd w:val="clear" w:color="auto" w:fill="auto"/>
          </w:tcPr>
          <w:p w:rsidR="00E87F7A" w:rsidRPr="004D3B4C" w:rsidRDefault="00101F11" w:rsidP="00D35756">
            <w:pPr>
              <w:rPr>
                <w:rStyle w:val="Hyperlink"/>
                <w:color w:val="auto"/>
              </w:rPr>
            </w:pPr>
            <w:hyperlink r:id="rId11" w:history="1">
              <w:r w:rsidR="00D35756" w:rsidRPr="008362E5">
                <w:rPr>
                  <w:rStyle w:val="Hyperlink"/>
                </w:rPr>
                <w:t>nkennedy@oxford.gov.uk</w:t>
              </w:r>
            </w:hyperlink>
          </w:p>
        </w:tc>
      </w:tr>
    </w:tbl>
    <w:p w:rsidR="00433B96" w:rsidRPr="004D3B4C" w:rsidRDefault="00433B96" w:rsidP="004A6D2F">
      <w:pPr>
        <w:rPr>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4D3B4C" w:rsidRPr="004D3B4C" w:rsidTr="00A46E98">
        <w:tc>
          <w:tcPr>
            <w:tcW w:w="8931" w:type="dxa"/>
            <w:gridSpan w:val="2"/>
            <w:tcBorders>
              <w:top w:val="single" w:sz="4" w:space="0" w:color="auto"/>
              <w:left w:val="single" w:sz="4" w:space="0" w:color="auto"/>
              <w:bottom w:val="single" w:sz="8" w:space="0" w:color="000000"/>
              <w:right w:val="single" w:sz="4" w:space="0" w:color="auto"/>
            </w:tcBorders>
            <w:shd w:val="clear" w:color="auto" w:fill="auto"/>
          </w:tcPr>
          <w:p w:rsidR="0093067A" w:rsidRPr="004D3B4C" w:rsidRDefault="00182B81" w:rsidP="00F41AC1">
            <w:pPr>
              <w:rPr>
                <w:color w:val="auto"/>
              </w:rPr>
            </w:pPr>
            <w:r w:rsidRPr="004D3B4C">
              <w:rPr>
                <w:rStyle w:val="Firstpagetablebold"/>
                <w:color w:val="auto"/>
              </w:rPr>
              <w:t xml:space="preserve">Background Papers: </w:t>
            </w:r>
            <w:r w:rsidRPr="004D3B4C">
              <w:rPr>
                <w:rStyle w:val="Firstpagetablebold"/>
                <w:b w:val="0"/>
                <w:color w:val="auto"/>
              </w:rPr>
              <w:t>None</w:t>
            </w:r>
          </w:p>
        </w:tc>
      </w:tr>
      <w:tr w:rsidR="003F4964" w:rsidRPr="004D3B4C" w:rsidTr="00A46E98">
        <w:tc>
          <w:tcPr>
            <w:tcW w:w="567" w:type="dxa"/>
            <w:tcBorders>
              <w:top w:val="nil"/>
              <w:left w:val="single" w:sz="8" w:space="0" w:color="000000"/>
              <w:bottom w:val="single" w:sz="8" w:space="0" w:color="000000"/>
              <w:right w:val="nil"/>
            </w:tcBorders>
            <w:shd w:val="clear" w:color="auto" w:fill="auto"/>
          </w:tcPr>
          <w:p w:rsidR="0093067A" w:rsidRPr="004D3B4C" w:rsidRDefault="0093067A" w:rsidP="00F41AC1">
            <w:pPr>
              <w:rPr>
                <w:color w:val="auto"/>
              </w:rPr>
            </w:pPr>
          </w:p>
        </w:tc>
        <w:tc>
          <w:tcPr>
            <w:tcW w:w="8364" w:type="dxa"/>
            <w:tcBorders>
              <w:top w:val="nil"/>
              <w:left w:val="nil"/>
              <w:bottom w:val="single" w:sz="8" w:space="0" w:color="000000"/>
              <w:right w:val="single" w:sz="8" w:space="0" w:color="000000"/>
            </w:tcBorders>
          </w:tcPr>
          <w:p w:rsidR="0093067A" w:rsidRPr="004D3B4C" w:rsidRDefault="0093067A" w:rsidP="00F41AC1">
            <w:pPr>
              <w:rPr>
                <w:color w:val="auto"/>
              </w:rPr>
            </w:pPr>
          </w:p>
        </w:tc>
      </w:tr>
    </w:tbl>
    <w:p w:rsidR="00CE4C87" w:rsidRPr="004D3B4C" w:rsidRDefault="00CE4C87" w:rsidP="0093067A">
      <w:pPr>
        <w:rPr>
          <w:color w:val="auto"/>
        </w:rPr>
      </w:pPr>
    </w:p>
    <w:p w:rsidR="00087FA8" w:rsidRPr="004D3B4C" w:rsidRDefault="00087FA8">
      <w:pPr>
        <w:rPr>
          <w:color w:val="auto"/>
        </w:rPr>
      </w:pPr>
    </w:p>
    <w:sectPr w:rsidR="00087FA8" w:rsidRPr="004D3B4C" w:rsidSect="00BC200B">
      <w:footerReference w:type="even" r:id="rId12"/>
      <w:headerReference w:type="first" r:id="rId13"/>
      <w:footerReference w:type="first" r:id="rId14"/>
      <w:pgSz w:w="11906" w:h="16838" w:code="9"/>
      <w:pgMar w:top="1418" w:right="1304" w:bottom="1304" w:left="1304" w:header="1134" w:footer="680"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C2606" w16cid:durableId="247C69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97" w:rsidRDefault="003F2397" w:rsidP="004A6D2F">
      <w:r>
        <w:separator/>
      </w:r>
    </w:p>
  </w:endnote>
  <w:endnote w:type="continuationSeparator" w:id="0">
    <w:p w:rsidR="003F2397" w:rsidRDefault="003F2397"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AE" w:rsidRDefault="004A3EAE" w:rsidP="004A6D2F">
    <w:pPr>
      <w:pStyle w:val="Footer"/>
    </w:pPr>
    <w:r>
      <w:t>Do not use a footer or page numbers.</w:t>
    </w:r>
  </w:p>
  <w:p w:rsidR="004A3EAE" w:rsidRDefault="004A3EAE" w:rsidP="004A6D2F">
    <w:pPr>
      <w:pStyle w:val="Footer"/>
    </w:pPr>
  </w:p>
  <w:p w:rsidR="004A3EAE" w:rsidRDefault="004A3EAE" w:rsidP="004A6D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AE" w:rsidRDefault="004A3EAE" w:rsidP="004A6D2F">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97" w:rsidRDefault="003F2397" w:rsidP="004A6D2F">
      <w:r>
        <w:separator/>
      </w:r>
    </w:p>
  </w:footnote>
  <w:footnote w:type="continuationSeparator" w:id="0">
    <w:p w:rsidR="003F2397" w:rsidRDefault="003F2397"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EAE" w:rsidRDefault="00434D16" w:rsidP="00D5547E">
    <w:pPr>
      <w:pStyle w:val="Header"/>
      <w:jc w:val="right"/>
    </w:pPr>
    <w:r>
      <w:rPr>
        <w:noProof/>
      </w:rPr>
      <w:drawing>
        <wp:inline distT="0" distB="0" distL="0" distR="0" wp14:anchorId="0637C5DA" wp14:editId="24ADF90A">
          <wp:extent cx="835025" cy="1113155"/>
          <wp:effectExtent l="0" t="0" r="3175" b="4445"/>
          <wp:docPr id="1" name="Picture 1" descr="occ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_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11131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33A2"/>
    <w:multiLevelType w:val="hybridMultilevel"/>
    <w:tmpl w:val="14E4CBDA"/>
    <w:lvl w:ilvl="0" w:tplc="839C8594">
      <w:start w:val="10"/>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790153"/>
    <w:multiLevelType w:val="hybridMultilevel"/>
    <w:tmpl w:val="12DCDB5A"/>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C30BB"/>
    <w:multiLevelType w:val="multilevel"/>
    <w:tmpl w:val="E67CE66C"/>
    <w:styleLink w:val="StyleNumberedLeft0cmHanging075cm"/>
    <w:lvl w:ilvl="0">
      <w:start w:val="1"/>
      <w:numFmt w:val="decimal"/>
      <w:lvlText w:val="%1."/>
      <w:lvlJc w:val="left"/>
      <w:pPr>
        <w:ind w:left="786"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F11CB"/>
    <w:multiLevelType w:val="hybridMultilevel"/>
    <w:tmpl w:val="FADA251E"/>
    <w:lvl w:ilvl="0" w:tplc="0809000F">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 w15:restartNumberingAfterBreak="0">
    <w:nsid w:val="09B1065C"/>
    <w:multiLevelType w:val="hybridMultilevel"/>
    <w:tmpl w:val="29E6E0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3E6C25"/>
    <w:multiLevelType w:val="hybridMultilevel"/>
    <w:tmpl w:val="40101D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03696"/>
    <w:multiLevelType w:val="multilevel"/>
    <w:tmpl w:val="919EE390"/>
    <w:lvl w:ilvl="0">
      <w:start w:val="1"/>
      <w:numFmt w:val="bullet"/>
      <w:lvlText w:val=""/>
      <w:lvlJc w:val="left"/>
      <w:pPr>
        <w:ind w:left="643" w:hanging="360"/>
      </w:pPr>
      <w:rPr>
        <w:rFonts w:ascii="Symbol" w:hAnsi="Symbol" w:hint="default"/>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5865C4C"/>
    <w:multiLevelType w:val="hybridMultilevel"/>
    <w:tmpl w:val="3C20F45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125748"/>
    <w:multiLevelType w:val="hybridMultilevel"/>
    <w:tmpl w:val="374A7F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D132203"/>
    <w:multiLevelType w:val="hybridMultilevel"/>
    <w:tmpl w:val="009CB428"/>
    <w:lvl w:ilvl="0" w:tplc="8300FCC8">
      <w:numFmt w:val="bullet"/>
      <w:lvlText w:val=""/>
      <w:lvlJc w:val="left"/>
      <w:pPr>
        <w:ind w:left="930" w:hanging="57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57735"/>
    <w:multiLevelType w:val="hybridMultilevel"/>
    <w:tmpl w:val="DDC8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980FC5"/>
    <w:multiLevelType w:val="hybridMultilevel"/>
    <w:tmpl w:val="5B36B17E"/>
    <w:lvl w:ilvl="0" w:tplc="AFA25F0A">
      <w:start w:val="1"/>
      <w:numFmt w:val="bullet"/>
      <w:pStyle w:val="Bulletpoints"/>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F64E1"/>
    <w:multiLevelType w:val="hybridMultilevel"/>
    <w:tmpl w:val="90081412"/>
    <w:lvl w:ilvl="0" w:tplc="EABCEB10">
      <w:start w:val="9"/>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5B1C7F"/>
    <w:multiLevelType w:val="hybridMultilevel"/>
    <w:tmpl w:val="D1B4A638"/>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5" w15:restartNumberingAfterBreak="0">
    <w:nsid w:val="3AA46B1F"/>
    <w:multiLevelType w:val="hybridMultilevel"/>
    <w:tmpl w:val="958CB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B1E3D"/>
    <w:multiLevelType w:val="hybridMultilevel"/>
    <w:tmpl w:val="7E3A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C931F0"/>
    <w:multiLevelType w:val="hybridMultilevel"/>
    <w:tmpl w:val="04B85FC4"/>
    <w:lvl w:ilvl="0" w:tplc="94D68206">
      <w:start w:val="6"/>
      <w:numFmt w:val="decimal"/>
      <w:lvlText w:val="%1."/>
      <w:lvlJc w:val="left"/>
      <w:pPr>
        <w:ind w:left="786" w:hanging="360"/>
      </w:pPr>
      <w:rPr>
        <w:rFonts w:hint="default"/>
        <w:b w: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2F1623"/>
    <w:multiLevelType w:val="hybridMultilevel"/>
    <w:tmpl w:val="EC368C1C"/>
    <w:lvl w:ilvl="0" w:tplc="08090001">
      <w:start w:val="1"/>
      <w:numFmt w:val="bullet"/>
      <w:lvlText w:val=""/>
      <w:lvlJc w:val="left"/>
      <w:pPr>
        <w:ind w:left="1473" w:hanging="360"/>
      </w:pPr>
      <w:rPr>
        <w:rFonts w:ascii="Symbol" w:hAnsi="Symbol"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19" w15:restartNumberingAfterBreak="0">
    <w:nsid w:val="482E4E3B"/>
    <w:multiLevelType w:val="hybridMultilevel"/>
    <w:tmpl w:val="A9D85204"/>
    <w:lvl w:ilvl="0" w:tplc="022218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325441"/>
    <w:multiLevelType w:val="multilevel"/>
    <w:tmpl w:val="32429174"/>
    <w:lvl w:ilvl="0">
      <w:start w:val="1"/>
      <w:numFmt w:val="decimal"/>
      <w:lvlText w:val="%1."/>
      <w:lvlJc w:val="left"/>
      <w:pPr>
        <w:ind w:left="360" w:hanging="360"/>
      </w:pPr>
      <w:rPr>
        <w:rFonts w:ascii="Arial" w:hAnsi="Arial"/>
        <w:color w:val="000000"/>
        <w:sz w:val="24"/>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DAE49C4"/>
    <w:multiLevelType w:val="hybridMultilevel"/>
    <w:tmpl w:val="3FFCFD1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CA110F"/>
    <w:multiLevelType w:val="hybridMultilevel"/>
    <w:tmpl w:val="27240D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F74C0A"/>
    <w:multiLevelType w:val="hybridMultilevel"/>
    <w:tmpl w:val="E36EA0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2904D9"/>
    <w:multiLevelType w:val="hybridMultilevel"/>
    <w:tmpl w:val="2E607C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9F2B3C"/>
    <w:multiLevelType w:val="multilevel"/>
    <w:tmpl w:val="4C5820D8"/>
    <w:lvl w:ilvl="0">
      <w:start w:val="1"/>
      <w:numFmt w:val="decimal"/>
      <w:pStyle w:val="Numberedlist"/>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BF20058"/>
    <w:multiLevelType w:val="hybridMultilevel"/>
    <w:tmpl w:val="AA0ACA2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7" w15:restartNumberingAfterBreak="0">
    <w:nsid w:val="6E6F6BE9"/>
    <w:multiLevelType w:val="hybridMultilevel"/>
    <w:tmpl w:val="10643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8365C6"/>
    <w:multiLevelType w:val="multilevel"/>
    <w:tmpl w:val="BB2AD32E"/>
    <w:lvl w:ilvl="0">
      <w:start w:val="2"/>
      <w:numFmt w:val="decimal"/>
      <w:pStyle w:val="ListParagraph"/>
      <w:lvlText w:val="%1."/>
      <w:lvlJc w:val="left"/>
      <w:pPr>
        <w:ind w:left="786" w:hanging="360"/>
      </w:pPr>
      <w:rPr>
        <w:rFonts w:ascii="Arial" w:hAnsi="Arial" w:hint="default"/>
        <w:color w:val="000000"/>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15:restartNumberingAfterBreak="0">
    <w:nsid w:val="7A531E04"/>
    <w:multiLevelType w:val="hybridMultilevel"/>
    <w:tmpl w:val="86DAC3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EF58A1"/>
    <w:multiLevelType w:val="hybridMultilevel"/>
    <w:tmpl w:val="C054D9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8"/>
  </w:num>
  <w:num w:numId="3">
    <w:abstractNumId w:val="12"/>
  </w:num>
  <w:num w:numId="4">
    <w:abstractNumId w:val="3"/>
  </w:num>
  <w:num w:numId="5">
    <w:abstractNumId w:val="25"/>
  </w:num>
  <w:num w:numId="6">
    <w:abstractNumId w:val="1"/>
  </w:num>
  <w:num w:numId="7">
    <w:abstractNumId w:val="20"/>
  </w:num>
  <w:num w:numId="8">
    <w:abstractNumId w:val="10"/>
  </w:num>
  <w:num w:numId="9">
    <w:abstractNumId w:val="16"/>
  </w:num>
  <w:num w:numId="10">
    <w:abstractNumId w:val="7"/>
  </w:num>
  <w:num w:numId="11">
    <w:abstractNumId w:val="6"/>
  </w:num>
  <w:num w:numId="12">
    <w:abstractNumId w:val="4"/>
  </w:num>
  <w:num w:numId="13">
    <w:abstractNumId w:val="18"/>
  </w:num>
  <w:num w:numId="14">
    <w:abstractNumId w:val="21"/>
  </w:num>
  <w:num w:numId="15">
    <w:abstractNumId w:val="22"/>
  </w:num>
  <w:num w:numId="1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3"/>
  </w:num>
  <w:num w:numId="19">
    <w:abstractNumId w:val="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6"/>
  </w:num>
  <w:num w:numId="23">
    <w:abstractNumId w:val="15"/>
  </w:num>
  <w:num w:numId="24">
    <w:abstractNumId w:val="5"/>
  </w:num>
  <w:num w:numId="25">
    <w:abstractNumId w:val="30"/>
  </w:num>
  <w:num w:numId="26">
    <w:abstractNumId w:val="11"/>
  </w:num>
  <w:num w:numId="27">
    <w:abstractNumId w:val="19"/>
  </w:num>
  <w:num w:numId="28">
    <w:abstractNumId w:val="27"/>
  </w:num>
  <w:num w:numId="29">
    <w:abstractNumId w:val="14"/>
  </w:num>
  <w:num w:numId="30">
    <w:abstractNumId w:val="29"/>
  </w:num>
  <w:num w:numId="31">
    <w:abstractNumId w:val="8"/>
  </w:num>
  <w:num w:numId="32">
    <w:abstractNumId w:val="24"/>
  </w:num>
  <w:num w:numId="33">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292"/>
    <w:rsid w:val="00003F30"/>
    <w:rsid w:val="00005E14"/>
    <w:rsid w:val="00007464"/>
    <w:rsid w:val="000117D4"/>
    <w:rsid w:val="000119EC"/>
    <w:rsid w:val="000202F2"/>
    <w:rsid w:val="00021313"/>
    <w:rsid w:val="00024EF5"/>
    <w:rsid w:val="00030BDD"/>
    <w:rsid w:val="000314D7"/>
    <w:rsid w:val="00033248"/>
    <w:rsid w:val="00034DFA"/>
    <w:rsid w:val="000415F8"/>
    <w:rsid w:val="00041770"/>
    <w:rsid w:val="00044A94"/>
    <w:rsid w:val="00045CFD"/>
    <w:rsid w:val="00045F8B"/>
    <w:rsid w:val="00046D2B"/>
    <w:rsid w:val="00047B56"/>
    <w:rsid w:val="0005299B"/>
    <w:rsid w:val="00052F57"/>
    <w:rsid w:val="0005443F"/>
    <w:rsid w:val="00055009"/>
    <w:rsid w:val="00056263"/>
    <w:rsid w:val="00056B8F"/>
    <w:rsid w:val="00060092"/>
    <w:rsid w:val="00062CA2"/>
    <w:rsid w:val="00063A0F"/>
    <w:rsid w:val="00064D8A"/>
    <w:rsid w:val="00064F82"/>
    <w:rsid w:val="00066510"/>
    <w:rsid w:val="00070E1A"/>
    <w:rsid w:val="0007293F"/>
    <w:rsid w:val="00073CC5"/>
    <w:rsid w:val="000753A8"/>
    <w:rsid w:val="00076268"/>
    <w:rsid w:val="0007692D"/>
    <w:rsid w:val="00077523"/>
    <w:rsid w:val="000776FF"/>
    <w:rsid w:val="000811A3"/>
    <w:rsid w:val="00081E30"/>
    <w:rsid w:val="000838DB"/>
    <w:rsid w:val="00085B72"/>
    <w:rsid w:val="00085F4A"/>
    <w:rsid w:val="00087FA8"/>
    <w:rsid w:val="0009130F"/>
    <w:rsid w:val="000917F9"/>
    <w:rsid w:val="00092163"/>
    <w:rsid w:val="00093353"/>
    <w:rsid w:val="00096070"/>
    <w:rsid w:val="000A00A3"/>
    <w:rsid w:val="000A026F"/>
    <w:rsid w:val="000A56BE"/>
    <w:rsid w:val="000A5F1F"/>
    <w:rsid w:val="000B5D37"/>
    <w:rsid w:val="000B6726"/>
    <w:rsid w:val="000B6A77"/>
    <w:rsid w:val="000B6C3C"/>
    <w:rsid w:val="000C089F"/>
    <w:rsid w:val="000C1A15"/>
    <w:rsid w:val="000C35CD"/>
    <w:rsid w:val="000C3928"/>
    <w:rsid w:val="000C3FBC"/>
    <w:rsid w:val="000C4C93"/>
    <w:rsid w:val="000C5E8E"/>
    <w:rsid w:val="000C6280"/>
    <w:rsid w:val="000D16EF"/>
    <w:rsid w:val="000D5378"/>
    <w:rsid w:val="000D6E10"/>
    <w:rsid w:val="000D7112"/>
    <w:rsid w:val="000D7AB6"/>
    <w:rsid w:val="000E0057"/>
    <w:rsid w:val="000E0560"/>
    <w:rsid w:val="000E0892"/>
    <w:rsid w:val="000E4222"/>
    <w:rsid w:val="000E6150"/>
    <w:rsid w:val="000E6801"/>
    <w:rsid w:val="000F1E93"/>
    <w:rsid w:val="000F2A7A"/>
    <w:rsid w:val="000F3585"/>
    <w:rsid w:val="000F44CC"/>
    <w:rsid w:val="000F4751"/>
    <w:rsid w:val="000F4EBE"/>
    <w:rsid w:val="00100B3F"/>
    <w:rsid w:val="001015BA"/>
    <w:rsid w:val="00101F11"/>
    <w:rsid w:val="00103EAA"/>
    <w:rsid w:val="0010524C"/>
    <w:rsid w:val="0010611D"/>
    <w:rsid w:val="00106E1A"/>
    <w:rsid w:val="001103A9"/>
    <w:rsid w:val="00111FB1"/>
    <w:rsid w:val="001121C1"/>
    <w:rsid w:val="0011233D"/>
    <w:rsid w:val="0011263A"/>
    <w:rsid w:val="00113418"/>
    <w:rsid w:val="00117FD9"/>
    <w:rsid w:val="00120699"/>
    <w:rsid w:val="00121043"/>
    <w:rsid w:val="00123524"/>
    <w:rsid w:val="00124CD2"/>
    <w:rsid w:val="001318CF"/>
    <w:rsid w:val="00133FFA"/>
    <w:rsid w:val="001356F1"/>
    <w:rsid w:val="00136994"/>
    <w:rsid w:val="00136EB8"/>
    <w:rsid w:val="00136FB7"/>
    <w:rsid w:val="00140E06"/>
    <w:rsid w:val="0014128E"/>
    <w:rsid w:val="00141634"/>
    <w:rsid w:val="00147810"/>
    <w:rsid w:val="001479C1"/>
    <w:rsid w:val="00151888"/>
    <w:rsid w:val="0015241C"/>
    <w:rsid w:val="001531B9"/>
    <w:rsid w:val="00153496"/>
    <w:rsid w:val="00153515"/>
    <w:rsid w:val="00155948"/>
    <w:rsid w:val="00156074"/>
    <w:rsid w:val="00160BAB"/>
    <w:rsid w:val="00162B63"/>
    <w:rsid w:val="001650C2"/>
    <w:rsid w:val="00165DB6"/>
    <w:rsid w:val="001665D8"/>
    <w:rsid w:val="0017015E"/>
    <w:rsid w:val="001705FE"/>
    <w:rsid w:val="00170A2D"/>
    <w:rsid w:val="00170D87"/>
    <w:rsid w:val="00172D62"/>
    <w:rsid w:val="001757B4"/>
    <w:rsid w:val="00177372"/>
    <w:rsid w:val="001808BC"/>
    <w:rsid w:val="0018147F"/>
    <w:rsid w:val="00182B81"/>
    <w:rsid w:val="001860E6"/>
    <w:rsid w:val="0018619D"/>
    <w:rsid w:val="001866BD"/>
    <w:rsid w:val="00187084"/>
    <w:rsid w:val="00187D58"/>
    <w:rsid w:val="0019019C"/>
    <w:rsid w:val="001944A2"/>
    <w:rsid w:val="0019563E"/>
    <w:rsid w:val="00195CA7"/>
    <w:rsid w:val="00195CED"/>
    <w:rsid w:val="00197786"/>
    <w:rsid w:val="001A011E"/>
    <w:rsid w:val="001A066A"/>
    <w:rsid w:val="001A13E6"/>
    <w:rsid w:val="001A4DDB"/>
    <w:rsid w:val="001A5731"/>
    <w:rsid w:val="001A60BF"/>
    <w:rsid w:val="001A7448"/>
    <w:rsid w:val="001B0394"/>
    <w:rsid w:val="001B42C3"/>
    <w:rsid w:val="001B57C2"/>
    <w:rsid w:val="001C0E6C"/>
    <w:rsid w:val="001C1E83"/>
    <w:rsid w:val="001C5D5E"/>
    <w:rsid w:val="001D228B"/>
    <w:rsid w:val="001D522C"/>
    <w:rsid w:val="001D678D"/>
    <w:rsid w:val="001D6B95"/>
    <w:rsid w:val="001D7960"/>
    <w:rsid w:val="001E03B7"/>
    <w:rsid w:val="001E03F8"/>
    <w:rsid w:val="001E1678"/>
    <w:rsid w:val="001E3376"/>
    <w:rsid w:val="001E373D"/>
    <w:rsid w:val="001E54EC"/>
    <w:rsid w:val="001E5C62"/>
    <w:rsid w:val="001E5C87"/>
    <w:rsid w:val="001E6D16"/>
    <w:rsid w:val="001E7AFD"/>
    <w:rsid w:val="001F04F3"/>
    <w:rsid w:val="001F073F"/>
    <w:rsid w:val="001F2192"/>
    <w:rsid w:val="001F4DC6"/>
    <w:rsid w:val="00200787"/>
    <w:rsid w:val="002018CC"/>
    <w:rsid w:val="00205EF0"/>
    <w:rsid w:val="00206053"/>
    <w:rsid w:val="002069B3"/>
    <w:rsid w:val="00206B28"/>
    <w:rsid w:val="0021127E"/>
    <w:rsid w:val="00211440"/>
    <w:rsid w:val="002118D6"/>
    <w:rsid w:val="00213A89"/>
    <w:rsid w:val="00215DC1"/>
    <w:rsid w:val="00216AA4"/>
    <w:rsid w:val="00216D87"/>
    <w:rsid w:val="00217CBC"/>
    <w:rsid w:val="00217D91"/>
    <w:rsid w:val="00221C73"/>
    <w:rsid w:val="00223D22"/>
    <w:rsid w:val="00224C93"/>
    <w:rsid w:val="002255C7"/>
    <w:rsid w:val="002256CA"/>
    <w:rsid w:val="00225A4F"/>
    <w:rsid w:val="00226CEB"/>
    <w:rsid w:val="002301B9"/>
    <w:rsid w:val="00230D26"/>
    <w:rsid w:val="002329CF"/>
    <w:rsid w:val="00232F5B"/>
    <w:rsid w:val="00233A3B"/>
    <w:rsid w:val="0024230D"/>
    <w:rsid w:val="002440AD"/>
    <w:rsid w:val="00244FEC"/>
    <w:rsid w:val="00246CCD"/>
    <w:rsid w:val="00247C29"/>
    <w:rsid w:val="00250D64"/>
    <w:rsid w:val="00251369"/>
    <w:rsid w:val="00254C37"/>
    <w:rsid w:val="00255E80"/>
    <w:rsid w:val="00256350"/>
    <w:rsid w:val="00260467"/>
    <w:rsid w:val="00261D35"/>
    <w:rsid w:val="00263EA3"/>
    <w:rsid w:val="00265217"/>
    <w:rsid w:val="00265BB1"/>
    <w:rsid w:val="0026625F"/>
    <w:rsid w:val="002665C2"/>
    <w:rsid w:val="00276646"/>
    <w:rsid w:val="002778C0"/>
    <w:rsid w:val="0028004E"/>
    <w:rsid w:val="00284F85"/>
    <w:rsid w:val="00285D6F"/>
    <w:rsid w:val="002873F1"/>
    <w:rsid w:val="00287776"/>
    <w:rsid w:val="00287FB6"/>
    <w:rsid w:val="00290540"/>
    <w:rsid w:val="00290915"/>
    <w:rsid w:val="00290D91"/>
    <w:rsid w:val="00292C57"/>
    <w:rsid w:val="00293B26"/>
    <w:rsid w:val="00295C19"/>
    <w:rsid w:val="0029717F"/>
    <w:rsid w:val="00297FB0"/>
    <w:rsid w:val="002A15EC"/>
    <w:rsid w:val="002A22E2"/>
    <w:rsid w:val="002A5423"/>
    <w:rsid w:val="002A5FEB"/>
    <w:rsid w:val="002A6BE1"/>
    <w:rsid w:val="002A7109"/>
    <w:rsid w:val="002B3A96"/>
    <w:rsid w:val="002C3627"/>
    <w:rsid w:val="002C45FC"/>
    <w:rsid w:val="002C556E"/>
    <w:rsid w:val="002C64F7"/>
    <w:rsid w:val="002C7D93"/>
    <w:rsid w:val="002D0090"/>
    <w:rsid w:val="002D3DE5"/>
    <w:rsid w:val="002D5C14"/>
    <w:rsid w:val="002D6C9D"/>
    <w:rsid w:val="002E0A00"/>
    <w:rsid w:val="002E1770"/>
    <w:rsid w:val="002E17FE"/>
    <w:rsid w:val="002E3561"/>
    <w:rsid w:val="002E3728"/>
    <w:rsid w:val="002E4F99"/>
    <w:rsid w:val="002E66A3"/>
    <w:rsid w:val="002E704C"/>
    <w:rsid w:val="002F0E22"/>
    <w:rsid w:val="002F180B"/>
    <w:rsid w:val="002F41F2"/>
    <w:rsid w:val="002F4BF3"/>
    <w:rsid w:val="00301BF3"/>
    <w:rsid w:val="0030208D"/>
    <w:rsid w:val="003025E1"/>
    <w:rsid w:val="00304AD6"/>
    <w:rsid w:val="00307EE2"/>
    <w:rsid w:val="003209BA"/>
    <w:rsid w:val="00323418"/>
    <w:rsid w:val="00324B36"/>
    <w:rsid w:val="00326BD3"/>
    <w:rsid w:val="003301E7"/>
    <w:rsid w:val="00333AD9"/>
    <w:rsid w:val="0033417C"/>
    <w:rsid w:val="003357BF"/>
    <w:rsid w:val="00340275"/>
    <w:rsid w:val="003418CD"/>
    <w:rsid w:val="003428A9"/>
    <w:rsid w:val="00343DA0"/>
    <w:rsid w:val="00344FBB"/>
    <w:rsid w:val="003450F2"/>
    <w:rsid w:val="0035702E"/>
    <w:rsid w:val="00360AA3"/>
    <w:rsid w:val="00362247"/>
    <w:rsid w:val="0036290C"/>
    <w:rsid w:val="0036436B"/>
    <w:rsid w:val="00364FAD"/>
    <w:rsid w:val="00366DD9"/>
    <w:rsid w:val="0036738F"/>
    <w:rsid w:val="0036759C"/>
    <w:rsid w:val="00367AE5"/>
    <w:rsid w:val="00367D71"/>
    <w:rsid w:val="003709AA"/>
    <w:rsid w:val="0037202D"/>
    <w:rsid w:val="00372F59"/>
    <w:rsid w:val="003745E0"/>
    <w:rsid w:val="00380E84"/>
    <w:rsid w:val="0038150A"/>
    <w:rsid w:val="00381DF8"/>
    <w:rsid w:val="003853B7"/>
    <w:rsid w:val="00386CF0"/>
    <w:rsid w:val="00390138"/>
    <w:rsid w:val="00390CA8"/>
    <w:rsid w:val="003911D0"/>
    <w:rsid w:val="0039198D"/>
    <w:rsid w:val="00393379"/>
    <w:rsid w:val="003936BA"/>
    <w:rsid w:val="00395F98"/>
    <w:rsid w:val="0039720B"/>
    <w:rsid w:val="003974D3"/>
    <w:rsid w:val="003A35E7"/>
    <w:rsid w:val="003A55C4"/>
    <w:rsid w:val="003A74EF"/>
    <w:rsid w:val="003B31C6"/>
    <w:rsid w:val="003B6E75"/>
    <w:rsid w:val="003B7DA1"/>
    <w:rsid w:val="003C0094"/>
    <w:rsid w:val="003C1E3B"/>
    <w:rsid w:val="003C2117"/>
    <w:rsid w:val="003C2354"/>
    <w:rsid w:val="003C27C4"/>
    <w:rsid w:val="003C3612"/>
    <w:rsid w:val="003C3B62"/>
    <w:rsid w:val="003C5241"/>
    <w:rsid w:val="003C619C"/>
    <w:rsid w:val="003D0379"/>
    <w:rsid w:val="003D1D47"/>
    <w:rsid w:val="003D2574"/>
    <w:rsid w:val="003D4C59"/>
    <w:rsid w:val="003D70E3"/>
    <w:rsid w:val="003E19A9"/>
    <w:rsid w:val="003E4A69"/>
    <w:rsid w:val="003E74D0"/>
    <w:rsid w:val="003E75E2"/>
    <w:rsid w:val="003F2106"/>
    <w:rsid w:val="003F2397"/>
    <w:rsid w:val="003F333F"/>
    <w:rsid w:val="003F4136"/>
    <w:rsid w:val="003F4267"/>
    <w:rsid w:val="003F44B1"/>
    <w:rsid w:val="003F4964"/>
    <w:rsid w:val="003F4EC5"/>
    <w:rsid w:val="003F50F9"/>
    <w:rsid w:val="003F7042"/>
    <w:rsid w:val="003F710E"/>
    <w:rsid w:val="00404032"/>
    <w:rsid w:val="0040736F"/>
    <w:rsid w:val="00407BA5"/>
    <w:rsid w:val="004101A3"/>
    <w:rsid w:val="00412C1F"/>
    <w:rsid w:val="00413512"/>
    <w:rsid w:val="004169B8"/>
    <w:rsid w:val="004205AA"/>
    <w:rsid w:val="00420868"/>
    <w:rsid w:val="00421CB2"/>
    <w:rsid w:val="004227AD"/>
    <w:rsid w:val="0042669C"/>
    <w:rsid w:val="004268B9"/>
    <w:rsid w:val="0042754C"/>
    <w:rsid w:val="00430F6F"/>
    <w:rsid w:val="00431551"/>
    <w:rsid w:val="00433283"/>
    <w:rsid w:val="004332E4"/>
    <w:rsid w:val="00433B96"/>
    <w:rsid w:val="00434790"/>
    <w:rsid w:val="00434D16"/>
    <w:rsid w:val="00441210"/>
    <w:rsid w:val="0044355A"/>
    <w:rsid w:val="004440F1"/>
    <w:rsid w:val="004455BC"/>
    <w:rsid w:val="004456DD"/>
    <w:rsid w:val="00446085"/>
    <w:rsid w:val="00446CDF"/>
    <w:rsid w:val="00446FCC"/>
    <w:rsid w:val="00451FB4"/>
    <w:rsid w:val="004521B7"/>
    <w:rsid w:val="00454B18"/>
    <w:rsid w:val="004560CC"/>
    <w:rsid w:val="0045613A"/>
    <w:rsid w:val="0045731F"/>
    <w:rsid w:val="00457CEF"/>
    <w:rsid w:val="00462AB5"/>
    <w:rsid w:val="00465EAF"/>
    <w:rsid w:val="00471421"/>
    <w:rsid w:val="0047252D"/>
    <w:rsid w:val="0047351F"/>
    <w:rsid w:val="004738C5"/>
    <w:rsid w:val="004768FC"/>
    <w:rsid w:val="00477871"/>
    <w:rsid w:val="00477A97"/>
    <w:rsid w:val="00480B15"/>
    <w:rsid w:val="00484780"/>
    <w:rsid w:val="0048526E"/>
    <w:rsid w:val="00487A8A"/>
    <w:rsid w:val="0049066A"/>
    <w:rsid w:val="00490996"/>
    <w:rsid w:val="00491046"/>
    <w:rsid w:val="0049449D"/>
    <w:rsid w:val="004945B4"/>
    <w:rsid w:val="0049617B"/>
    <w:rsid w:val="00497A27"/>
    <w:rsid w:val="004A2AC7"/>
    <w:rsid w:val="004A3EAE"/>
    <w:rsid w:val="004A631A"/>
    <w:rsid w:val="004A6D2F"/>
    <w:rsid w:val="004B2089"/>
    <w:rsid w:val="004B5708"/>
    <w:rsid w:val="004B6807"/>
    <w:rsid w:val="004B6F4D"/>
    <w:rsid w:val="004B7BD3"/>
    <w:rsid w:val="004C195A"/>
    <w:rsid w:val="004C2887"/>
    <w:rsid w:val="004C3624"/>
    <w:rsid w:val="004C6918"/>
    <w:rsid w:val="004C69F1"/>
    <w:rsid w:val="004C6F45"/>
    <w:rsid w:val="004D0FD0"/>
    <w:rsid w:val="004D1B2B"/>
    <w:rsid w:val="004D2626"/>
    <w:rsid w:val="004D3B4C"/>
    <w:rsid w:val="004D58C5"/>
    <w:rsid w:val="004D5D7A"/>
    <w:rsid w:val="004D6E26"/>
    <w:rsid w:val="004D73C5"/>
    <w:rsid w:val="004D77D3"/>
    <w:rsid w:val="004E02EA"/>
    <w:rsid w:val="004E070A"/>
    <w:rsid w:val="004E27A6"/>
    <w:rsid w:val="004E288C"/>
    <w:rsid w:val="004E2959"/>
    <w:rsid w:val="004F09E4"/>
    <w:rsid w:val="004F20EF"/>
    <w:rsid w:val="004F260A"/>
    <w:rsid w:val="004F7AF1"/>
    <w:rsid w:val="00502033"/>
    <w:rsid w:val="0050321C"/>
    <w:rsid w:val="00504986"/>
    <w:rsid w:val="00511D41"/>
    <w:rsid w:val="00512F4E"/>
    <w:rsid w:val="005139CE"/>
    <w:rsid w:val="00523C1C"/>
    <w:rsid w:val="00524E1F"/>
    <w:rsid w:val="00525C5B"/>
    <w:rsid w:val="00526949"/>
    <w:rsid w:val="0052783B"/>
    <w:rsid w:val="005300D5"/>
    <w:rsid w:val="00536537"/>
    <w:rsid w:val="005367B7"/>
    <w:rsid w:val="00536A53"/>
    <w:rsid w:val="005417BF"/>
    <w:rsid w:val="005422B3"/>
    <w:rsid w:val="0054712D"/>
    <w:rsid w:val="00547EF6"/>
    <w:rsid w:val="0055120B"/>
    <w:rsid w:val="005525EC"/>
    <w:rsid w:val="00556458"/>
    <w:rsid w:val="005570B5"/>
    <w:rsid w:val="005571E3"/>
    <w:rsid w:val="00557303"/>
    <w:rsid w:val="005603CD"/>
    <w:rsid w:val="005611B8"/>
    <w:rsid w:val="005671FE"/>
    <w:rsid w:val="00567E18"/>
    <w:rsid w:val="00571969"/>
    <w:rsid w:val="00572110"/>
    <w:rsid w:val="00575F5F"/>
    <w:rsid w:val="00581805"/>
    <w:rsid w:val="005818C8"/>
    <w:rsid w:val="00585F76"/>
    <w:rsid w:val="0058744D"/>
    <w:rsid w:val="00594AE5"/>
    <w:rsid w:val="00597100"/>
    <w:rsid w:val="005A022D"/>
    <w:rsid w:val="005A059B"/>
    <w:rsid w:val="005A1535"/>
    <w:rsid w:val="005A34E4"/>
    <w:rsid w:val="005A3D65"/>
    <w:rsid w:val="005A7A7A"/>
    <w:rsid w:val="005B17F2"/>
    <w:rsid w:val="005B215D"/>
    <w:rsid w:val="005B264D"/>
    <w:rsid w:val="005B55EF"/>
    <w:rsid w:val="005B57F2"/>
    <w:rsid w:val="005B7FB0"/>
    <w:rsid w:val="005C0A03"/>
    <w:rsid w:val="005C1127"/>
    <w:rsid w:val="005C35A5"/>
    <w:rsid w:val="005C447B"/>
    <w:rsid w:val="005C577C"/>
    <w:rsid w:val="005D0621"/>
    <w:rsid w:val="005D09F7"/>
    <w:rsid w:val="005D1E27"/>
    <w:rsid w:val="005D2444"/>
    <w:rsid w:val="005D2A3E"/>
    <w:rsid w:val="005D4BE4"/>
    <w:rsid w:val="005D58A0"/>
    <w:rsid w:val="005D6268"/>
    <w:rsid w:val="005D76D6"/>
    <w:rsid w:val="005E022E"/>
    <w:rsid w:val="005E288E"/>
    <w:rsid w:val="005E5215"/>
    <w:rsid w:val="005E6A9E"/>
    <w:rsid w:val="005E7070"/>
    <w:rsid w:val="005E7AF6"/>
    <w:rsid w:val="005E7F4B"/>
    <w:rsid w:val="005F3275"/>
    <w:rsid w:val="005F6C06"/>
    <w:rsid w:val="005F7E60"/>
    <w:rsid w:val="005F7F7E"/>
    <w:rsid w:val="00603608"/>
    <w:rsid w:val="00604162"/>
    <w:rsid w:val="00604A65"/>
    <w:rsid w:val="00604B4C"/>
    <w:rsid w:val="0060572C"/>
    <w:rsid w:val="00614693"/>
    <w:rsid w:val="00614AE0"/>
    <w:rsid w:val="00614D6B"/>
    <w:rsid w:val="006151ED"/>
    <w:rsid w:val="0062244A"/>
    <w:rsid w:val="00623418"/>
    <w:rsid w:val="00623C2F"/>
    <w:rsid w:val="006248D8"/>
    <w:rsid w:val="00624C75"/>
    <w:rsid w:val="0062626A"/>
    <w:rsid w:val="00627684"/>
    <w:rsid w:val="00627D0F"/>
    <w:rsid w:val="00630B28"/>
    <w:rsid w:val="0063229F"/>
    <w:rsid w:val="00633578"/>
    <w:rsid w:val="00633EEC"/>
    <w:rsid w:val="00633F36"/>
    <w:rsid w:val="0063499F"/>
    <w:rsid w:val="006357FD"/>
    <w:rsid w:val="00637068"/>
    <w:rsid w:val="00637694"/>
    <w:rsid w:val="00640B28"/>
    <w:rsid w:val="0064625F"/>
    <w:rsid w:val="0064756A"/>
    <w:rsid w:val="00650642"/>
    <w:rsid w:val="00650811"/>
    <w:rsid w:val="00650BC9"/>
    <w:rsid w:val="00650C99"/>
    <w:rsid w:val="00656353"/>
    <w:rsid w:val="006600DC"/>
    <w:rsid w:val="006600EF"/>
    <w:rsid w:val="00660A77"/>
    <w:rsid w:val="00660B15"/>
    <w:rsid w:val="00661D3E"/>
    <w:rsid w:val="0067298D"/>
    <w:rsid w:val="00673910"/>
    <w:rsid w:val="00675219"/>
    <w:rsid w:val="00676725"/>
    <w:rsid w:val="00684EE2"/>
    <w:rsid w:val="00690696"/>
    <w:rsid w:val="00692627"/>
    <w:rsid w:val="006927FE"/>
    <w:rsid w:val="006947AB"/>
    <w:rsid w:val="006947CC"/>
    <w:rsid w:val="00695DEE"/>
    <w:rsid w:val="0069653D"/>
    <w:rsid w:val="006969E7"/>
    <w:rsid w:val="00697F1B"/>
    <w:rsid w:val="00697F53"/>
    <w:rsid w:val="006A03DC"/>
    <w:rsid w:val="006A3643"/>
    <w:rsid w:val="006B3B55"/>
    <w:rsid w:val="006B3EBB"/>
    <w:rsid w:val="006B6D32"/>
    <w:rsid w:val="006B6ED9"/>
    <w:rsid w:val="006B7532"/>
    <w:rsid w:val="006B79D4"/>
    <w:rsid w:val="006B7B01"/>
    <w:rsid w:val="006B7F04"/>
    <w:rsid w:val="006C2A29"/>
    <w:rsid w:val="006C3440"/>
    <w:rsid w:val="006C483B"/>
    <w:rsid w:val="006C64CF"/>
    <w:rsid w:val="006C6A27"/>
    <w:rsid w:val="006D0615"/>
    <w:rsid w:val="006D17B1"/>
    <w:rsid w:val="006D1FD7"/>
    <w:rsid w:val="006D4752"/>
    <w:rsid w:val="006D486C"/>
    <w:rsid w:val="006D4DF4"/>
    <w:rsid w:val="006D4FA4"/>
    <w:rsid w:val="006D708A"/>
    <w:rsid w:val="006E14C1"/>
    <w:rsid w:val="006E2CD5"/>
    <w:rsid w:val="006E4B8F"/>
    <w:rsid w:val="006E57B1"/>
    <w:rsid w:val="006E68D7"/>
    <w:rsid w:val="006E7937"/>
    <w:rsid w:val="006F0292"/>
    <w:rsid w:val="006F27FA"/>
    <w:rsid w:val="006F36C9"/>
    <w:rsid w:val="006F416B"/>
    <w:rsid w:val="006F4377"/>
    <w:rsid w:val="006F4D93"/>
    <w:rsid w:val="006F519B"/>
    <w:rsid w:val="006F6DC5"/>
    <w:rsid w:val="006F7366"/>
    <w:rsid w:val="006F7CC4"/>
    <w:rsid w:val="00702A18"/>
    <w:rsid w:val="00703A6A"/>
    <w:rsid w:val="00703F5D"/>
    <w:rsid w:val="00704453"/>
    <w:rsid w:val="007114CD"/>
    <w:rsid w:val="00712664"/>
    <w:rsid w:val="00713241"/>
    <w:rsid w:val="00713675"/>
    <w:rsid w:val="00715823"/>
    <w:rsid w:val="00717CF8"/>
    <w:rsid w:val="007201B8"/>
    <w:rsid w:val="00722C3E"/>
    <w:rsid w:val="007244F2"/>
    <w:rsid w:val="00727723"/>
    <w:rsid w:val="0073065E"/>
    <w:rsid w:val="007333C3"/>
    <w:rsid w:val="00737B93"/>
    <w:rsid w:val="0074109C"/>
    <w:rsid w:val="0074211E"/>
    <w:rsid w:val="00745BF0"/>
    <w:rsid w:val="00746E7C"/>
    <w:rsid w:val="0075545F"/>
    <w:rsid w:val="00756358"/>
    <w:rsid w:val="0075664A"/>
    <w:rsid w:val="007615FE"/>
    <w:rsid w:val="00761E43"/>
    <w:rsid w:val="0076287E"/>
    <w:rsid w:val="00763052"/>
    <w:rsid w:val="00763928"/>
    <w:rsid w:val="00764912"/>
    <w:rsid w:val="0076655C"/>
    <w:rsid w:val="00773D35"/>
    <w:rsid w:val="00773F4F"/>
    <w:rsid w:val="007742DC"/>
    <w:rsid w:val="00775283"/>
    <w:rsid w:val="007760B6"/>
    <w:rsid w:val="00777397"/>
    <w:rsid w:val="0078327B"/>
    <w:rsid w:val="007839B9"/>
    <w:rsid w:val="00784171"/>
    <w:rsid w:val="00784884"/>
    <w:rsid w:val="00786691"/>
    <w:rsid w:val="007872A9"/>
    <w:rsid w:val="007907D7"/>
    <w:rsid w:val="00791437"/>
    <w:rsid w:val="0079321F"/>
    <w:rsid w:val="007A5D71"/>
    <w:rsid w:val="007A7638"/>
    <w:rsid w:val="007B0C2C"/>
    <w:rsid w:val="007B0F89"/>
    <w:rsid w:val="007B12FE"/>
    <w:rsid w:val="007B2188"/>
    <w:rsid w:val="007B278E"/>
    <w:rsid w:val="007B4395"/>
    <w:rsid w:val="007B5FF6"/>
    <w:rsid w:val="007C0580"/>
    <w:rsid w:val="007C282E"/>
    <w:rsid w:val="007C2E3C"/>
    <w:rsid w:val="007C4000"/>
    <w:rsid w:val="007C42D2"/>
    <w:rsid w:val="007C51F2"/>
    <w:rsid w:val="007C5C23"/>
    <w:rsid w:val="007D0E8B"/>
    <w:rsid w:val="007D154E"/>
    <w:rsid w:val="007D1829"/>
    <w:rsid w:val="007D2F26"/>
    <w:rsid w:val="007D3AC2"/>
    <w:rsid w:val="007D5A7F"/>
    <w:rsid w:val="007D5AC3"/>
    <w:rsid w:val="007E0F4C"/>
    <w:rsid w:val="007E28E1"/>
    <w:rsid w:val="007E2A26"/>
    <w:rsid w:val="007E64F0"/>
    <w:rsid w:val="007E7D96"/>
    <w:rsid w:val="007E7DC2"/>
    <w:rsid w:val="007F2348"/>
    <w:rsid w:val="007F4328"/>
    <w:rsid w:val="007F454B"/>
    <w:rsid w:val="007F74E6"/>
    <w:rsid w:val="00803F07"/>
    <w:rsid w:val="008050A5"/>
    <w:rsid w:val="0080749A"/>
    <w:rsid w:val="008074F3"/>
    <w:rsid w:val="008077DD"/>
    <w:rsid w:val="00814689"/>
    <w:rsid w:val="008159AF"/>
    <w:rsid w:val="008161BB"/>
    <w:rsid w:val="00817308"/>
    <w:rsid w:val="00817482"/>
    <w:rsid w:val="00821FB8"/>
    <w:rsid w:val="00822ACD"/>
    <w:rsid w:val="008336DC"/>
    <w:rsid w:val="0083382B"/>
    <w:rsid w:val="00836AE5"/>
    <w:rsid w:val="00840B2F"/>
    <w:rsid w:val="00843591"/>
    <w:rsid w:val="0084531E"/>
    <w:rsid w:val="008516F4"/>
    <w:rsid w:val="00854074"/>
    <w:rsid w:val="00855C66"/>
    <w:rsid w:val="008575E2"/>
    <w:rsid w:val="00860C96"/>
    <w:rsid w:val="00864061"/>
    <w:rsid w:val="008679B6"/>
    <w:rsid w:val="00871C32"/>
    <w:rsid w:val="00871EE4"/>
    <w:rsid w:val="00874FA2"/>
    <w:rsid w:val="00875823"/>
    <w:rsid w:val="00876831"/>
    <w:rsid w:val="00883215"/>
    <w:rsid w:val="00883BD0"/>
    <w:rsid w:val="0088458C"/>
    <w:rsid w:val="00884F2C"/>
    <w:rsid w:val="00885E16"/>
    <w:rsid w:val="00886F33"/>
    <w:rsid w:val="00891372"/>
    <w:rsid w:val="0089175C"/>
    <w:rsid w:val="0089212D"/>
    <w:rsid w:val="00896532"/>
    <w:rsid w:val="008A15F8"/>
    <w:rsid w:val="008A339B"/>
    <w:rsid w:val="008B1387"/>
    <w:rsid w:val="008B293F"/>
    <w:rsid w:val="008B305E"/>
    <w:rsid w:val="008B372B"/>
    <w:rsid w:val="008B4023"/>
    <w:rsid w:val="008B6745"/>
    <w:rsid w:val="008B7371"/>
    <w:rsid w:val="008B769E"/>
    <w:rsid w:val="008C2114"/>
    <w:rsid w:val="008C36DE"/>
    <w:rsid w:val="008D0B20"/>
    <w:rsid w:val="008D131E"/>
    <w:rsid w:val="008D1A3C"/>
    <w:rsid w:val="008D3DDB"/>
    <w:rsid w:val="008D3FE6"/>
    <w:rsid w:val="008D5B32"/>
    <w:rsid w:val="008E28E4"/>
    <w:rsid w:val="008F094F"/>
    <w:rsid w:val="008F2876"/>
    <w:rsid w:val="008F370B"/>
    <w:rsid w:val="008F3DD3"/>
    <w:rsid w:val="008F573F"/>
    <w:rsid w:val="008F5939"/>
    <w:rsid w:val="008F6E30"/>
    <w:rsid w:val="008F7357"/>
    <w:rsid w:val="009033DA"/>
    <w:rsid w:val="009034EC"/>
    <w:rsid w:val="00905148"/>
    <w:rsid w:val="00907BDE"/>
    <w:rsid w:val="00910E25"/>
    <w:rsid w:val="00911B00"/>
    <w:rsid w:val="00912200"/>
    <w:rsid w:val="009150B3"/>
    <w:rsid w:val="00916A6C"/>
    <w:rsid w:val="009208BD"/>
    <w:rsid w:val="009210B1"/>
    <w:rsid w:val="009212B2"/>
    <w:rsid w:val="009227CE"/>
    <w:rsid w:val="00923390"/>
    <w:rsid w:val="00927355"/>
    <w:rsid w:val="0093067A"/>
    <w:rsid w:val="00930B99"/>
    <w:rsid w:val="0093437E"/>
    <w:rsid w:val="00934D30"/>
    <w:rsid w:val="00934E6B"/>
    <w:rsid w:val="009367F2"/>
    <w:rsid w:val="009370F6"/>
    <w:rsid w:val="009372F1"/>
    <w:rsid w:val="0094198E"/>
    <w:rsid w:val="00941C60"/>
    <w:rsid w:val="00942C78"/>
    <w:rsid w:val="009450D3"/>
    <w:rsid w:val="00946452"/>
    <w:rsid w:val="009464E4"/>
    <w:rsid w:val="00946A7E"/>
    <w:rsid w:val="0095091F"/>
    <w:rsid w:val="00953287"/>
    <w:rsid w:val="00953A87"/>
    <w:rsid w:val="009559D8"/>
    <w:rsid w:val="00956A10"/>
    <w:rsid w:val="00957365"/>
    <w:rsid w:val="00964010"/>
    <w:rsid w:val="00964187"/>
    <w:rsid w:val="00965C9C"/>
    <w:rsid w:val="00965E39"/>
    <w:rsid w:val="0096639D"/>
    <w:rsid w:val="00966D42"/>
    <w:rsid w:val="00966F41"/>
    <w:rsid w:val="00971689"/>
    <w:rsid w:val="00971754"/>
    <w:rsid w:val="00973A76"/>
    <w:rsid w:val="00973E90"/>
    <w:rsid w:val="00975B07"/>
    <w:rsid w:val="00980B4A"/>
    <w:rsid w:val="00980D6B"/>
    <w:rsid w:val="00990D52"/>
    <w:rsid w:val="00993F40"/>
    <w:rsid w:val="009961D5"/>
    <w:rsid w:val="0099724D"/>
    <w:rsid w:val="009A0407"/>
    <w:rsid w:val="009A1D16"/>
    <w:rsid w:val="009A2E0A"/>
    <w:rsid w:val="009A54E8"/>
    <w:rsid w:val="009A6F8A"/>
    <w:rsid w:val="009B0200"/>
    <w:rsid w:val="009B0344"/>
    <w:rsid w:val="009B11F3"/>
    <w:rsid w:val="009B381B"/>
    <w:rsid w:val="009B4BFF"/>
    <w:rsid w:val="009B589B"/>
    <w:rsid w:val="009B6167"/>
    <w:rsid w:val="009B6D80"/>
    <w:rsid w:val="009B7F93"/>
    <w:rsid w:val="009C0CE9"/>
    <w:rsid w:val="009C13D4"/>
    <w:rsid w:val="009C2EF5"/>
    <w:rsid w:val="009C409F"/>
    <w:rsid w:val="009D275F"/>
    <w:rsid w:val="009D4197"/>
    <w:rsid w:val="009D6A02"/>
    <w:rsid w:val="009D7094"/>
    <w:rsid w:val="009D7B8B"/>
    <w:rsid w:val="009E1E1D"/>
    <w:rsid w:val="009E3D0A"/>
    <w:rsid w:val="009E47A0"/>
    <w:rsid w:val="009E4858"/>
    <w:rsid w:val="009E51FC"/>
    <w:rsid w:val="009F1D28"/>
    <w:rsid w:val="009F48C5"/>
    <w:rsid w:val="009F6EEC"/>
    <w:rsid w:val="009F7618"/>
    <w:rsid w:val="00A0088F"/>
    <w:rsid w:val="00A01420"/>
    <w:rsid w:val="00A021CB"/>
    <w:rsid w:val="00A02C6C"/>
    <w:rsid w:val="00A04D23"/>
    <w:rsid w:val="00A06766"/>
    <w:rsid w:val="00A13765"/>
    <w:rsid w:val="00A13B37"/>
    <w:rsid w:val="00A14021"/>
    <w:rsid w:val="00A17BAD"/>
    <w:rsid w:val="00A21B12"/>
    <w:rsid w:val="00A23CB8"/>
    <w:rsid w:val="00A23F80"/>
    <w:rsid w:val="00A36624"/>
    <w:rsid w:val="00A40E02"/>
    <w:rsid w:val="00A40EFD"/>
    <w:rsid w:val="00A41AC7"/>
    <w:rsid w:val="00A42425"/>
    <w:rsid w:val="00A45DDB"/>
    <w:rsid w:val="00A46404"/>
    <w:rsid w:val="00A46CED"/>
    <w:rsid w:val="00A46E98"/>
    <w:rsid w:val="00A50727"/>
    <w:rsid w:val="00A51D06"/>
    <w:rsid w:val="00A51D23"/>
    <w:rsid w:val="00A52418"/>
    <w:rsid w:val="00A52A1D"/>
    <w:rsid w:val="00A52EDD"/>
    <w:rsid w:val="00A53FA6"/>
    <w:rsid w:val="00A6352B"/>
    <w:rsid w:val="00A65C9C"/>
    <w:rsid w:val="00A66877"/>
    <w:rsid w:val="00A701B5"/>
    <w:rsid w:val="00A714BB"/>
    <w:rsid w:val="00A77659"/>
    <w:rsid w:val="00A77CF6"/>
    <w:rsid w:val="00A81CC3"/>
    <w:rsid w:val="00A82AF9"/>
    <w:rsid w:val="00A831ED"/>
    <w:rsid w:val="00A84593"/>
    <w:rsid w:val="00A85B0E"/>
    <w:rsid w:val="00A86314"/>
    <w:rsid w:val="00A86331"/>
    <w:rsid w:val="00A91B9B"/>
    <w:rsid w:val="00A9244B"/>
    <w:rsid w:val="00A92D8F"/>
    <w:rsid w:val="00A92F6E"/>
    <w:rsid w:val="00A93767"/>
    <w:rsid w:val="00A94633"/>
    <w:rsid w:val="00A94C30"/>
    <w:rsid w:val="00AB1CBD"/>
    <w:rsid w:val="00AB1CFD"/>
    <w:rsid w:val="00AB2988"/>
    <w:rsid w:val="00AB389C"/>
    <w:rsid w:val="00AB3B49"/>
    <w:rsid w:val="00AB3E99"/>
    <w:rsid w:val="00AB41E6"/>
    <w:rsid w:val="00AB48D4"/>
    <w:rsid w:val="00AB77E5"/>
    <w:rsid w:val="00AB7999"/>
    <w:rsid w:val="00AC2F1C"/>
    <w:rsid w:val="00AC4174"/>
    <w:rsid w:val="00AC453A"/>
    <w:rsid w:val="00AC5333"/>
    <w:rsid w:val="00AC650C"/>
    <w:rsid w:val="00AC659B"/>
    <w:rsid w:val="00AD204C"/>
    <w:rsid w:val="00AD3292"/>
    <w:rsid w:val="00AD351A"/>
    <w:rsid w:val="00AD4EDC"/>
    <w:rsid w:val="00AD5C28"/>
    <w:rsid w:val="00AD6658"/>
    <w:rsid w:val="00AE1942"/>
    <w:rsid w:val="00AE2EA6"/>
    <w:rsid w:val="00AE399A"/>
    <w:rsid w:val="00AE4091"/>
    <w:rsid w:val="00AE5116"/>
    <w:rsid w:val="00AE7AF0"/>
    <w:rsid w:val="00AF0443"/>
    <w:rsid w:val="00AF0BDE"/>
    <w:rsid w:val="00AF11E9"/>
    <w:rsid w:val="00AF1367"/>
    <w:rsid w:val="00AF447C"/>
    <w:rsid w:val="00AF571E"/>
    <w:rsid w:val="00AF575F"/>
    <w:rsid w:val="00AF6699"/>
    <w:rsid w:val="00AF6923"/>
    <w:rsid w:val="00AF7780"/>
    <w:rsid w:val="00AF7E6D"/>
    <w:rsid w:val="00B00BEA"/>
    <w:rsid w:val="00B0125D"/>
    <w:rsid w:val="00B01E78"/>
    <w:rsid w:val="00B02C0B"/>
    <w:rsid w:val="00B07C1C"/>
    <w:rsid w:val="00B10652"/>
    <w:rsid w:val="00B12892"/>
    <w:rsid w:val="00B1310E"/>
    <w:rsid w:val="00B20DCF"/>
    <w:rsid w:val="00B26654"/>
    <w:rsid w:val="00B26878"/>
    <w:rsid w:val="00B277ED"/>
    <w:rsid w:val="00B27F59"/>
    <w:rsid w:val="00B32389"/>
    <w:rsid w:val="00B364BC"/>
    <w:rsid w:val="00B40045"/>
    <w:rsid w:val="00B40416"/>
    <w:rsid w:val="00B40646"/>
    <w:rsid w:val="00B44424"/>
    <w:rsid w:val="00B46B4D"/>
    <w:rsid w:val="00B500CA"/>
    <w:rsid w:val="00B515F2"/>
    <w:rsid w:val="00B520E3"/>
    <w:rsid w:val="00B53FB6"/>
    <w:rsid w:val="00B5564A"/>
    <w:rsid w:val="00B57C29"/>
    <w:rsid w:val="00B60DCA"/>
    <w:rsid w:val="00B61C8A"/>
    <w:rsid w:val="00B62884"/>
    <w:rsid w:val="00B6503D"/>
    <w:rsid w:val="00B6671E"/>
    <w:rsid w:val="00B732B4"/>
    <w:rsid w:val="00B73D1D"/>
    <w:rsid w:val="00B80341"/>
    <w:rsid w:val="00B8084E"/>
    <w:rsid w:val="00B80C36"/>
    <w:rsid w:val="00B83494"/>
    <w:rsid w:val="00B84D7D"/>
    <w:rsid w:val="00B86314"/>
    <w:rsid w:val="00B93134"/>
    <w:rsid w:val="00B93514"/>
    <w:rsid w:val="00B95A51"/>
    <w:rsid w:val="00BA0971"/>
    <w:rsid w:val="00BA1C2E"/>
    <w:rsid w:val="00BA4C80"/>
    <w:rsid w:val="00BA597C"/>
    <w:rsid w:val="00BB04C6"/>
    <w:rsid w:val="00BB090E"/>
    <w:rsid w:val="00BB0B31"/>
    <w:rsid w:val="00BB12F0"/>
    <w:rsid w:val="00BB2427"/>
    <w:rsid w:val="00BB481D"/>
    <w:rsid w:val="00BB483E"/>
    <w:rsid w:val="00BB7178"/>
    <w:rsid w:val="00BB796D"/>
    <w:rsid w:val="00BC200B"/>
    <w:rsid w:val="00BC4756"/>
    <w:rsid w:val="00BC69A4"/>
    <w:rsid w:val="00BC7572"/>
    <w:rsid w:val="00BD121C"/>
    <w:rsid w:val="00BD3A56"/>
    <w:rsid w:val="00BD3B6D"/>
    <w:rsid w:val="00BD3B8E"/>
    <w:rsid w:val="00BD41E4"/>
    <w:rsid w:val="00BD4A76"/>
    <w:rsid w:val="00BE0680"/>
    <w:rsid w:val="00BE2611"/>
    <w:rsid w:val="00BE305F"/>
    <w:rsid w:val="00BE4002"/>
    <w:rsid w:val="00BE5525"/>
    <w:rsid w:val="00BE5A97"/>
    <w:rsid w:val="00BE5B8E"/>
    <w:rsid w:val="00BE7BA3"/>
    <w:rsid w:val="00BF0DF5"/>
    <w:rsid w:val="00BF1D16"/>
    <w:rsid w:val="00BF25C3"/>
    <w:rsid w:val="00BF2AF4"/>
    <w:rsid w:val="00BF4935"/>
    <w:rsid w:val="00BF5682"/>
    <w:rsid w:val="00BF7B09"/>
    <w:rsid w:val="00C00652"/>
    <w:rsid w:val="00C016F6"/>
    <w:rsid w:val="00C02347"/>
    <w:rsid w:val="00C05923"/>
    <w:rsid w:val="00C11950"/>
    <w:rsid w:val="00C12317"/>
    <w:rsid w:val="00C1237A"/>
    <w:rsid w:val="00C13033"/>
    <w:rsid w:val="00C13896"/>
    <w:rsid w:val="00C13B7D"/>
    <w:rsid w:val="00C14410"/>
    <w:rsid w:val="00C1561B"/>
    <w:rsid w:val="00C15F4C"/>
    <w:rsid w:val="00C169D7"/>
    <w:rsid w:val="00C20A95"/>
    <w:rsid w:val="00C21D11"/>
    <w:rsid w:val="00C23F79"/>
    <w:rsid w:val="00C25AD8"/>
    <w:rsid w:val="00C2674F"/>
    <w:rsid w:val="00C2692F"/>
    <w:rsid w:val="00C30B63"/>
    <w:rsid w:val="00C3207C"/>
    <w:rsid w:val="00C32BA9"/>
    <w:rsid w:val="00C32BB4"/>
    <w:rsid w:val="00C400E1"/>
    <w:rsid w:val="00C40A7D"/>
    <w:rsid w:val="00C41187"/>
    <w:rsid w:val="00C42D14"/>
    <w:rsid w:val="00C433D5"/>
    <w:rsid w:val="00C45ECB"/>
    <w:rsid w:val="00C45FC7"/>
    <w:rsid w:val="00C46E95"/>
    <w:rsid w:val="00C47889"/>
    <w:rsid w:val="00C514DE"/>
    <w:rsid w:val="00C519D6"/>
    <w:rsid w:val="00C63C31"/>
    <w:rsid w:val="00C661F5"/>
    <w:rsid w:val="00C66A11"/>
    <w:rsid w:val="00C720C0"/>
    <w:rsid w:val="00C72FE8"/>
    <w:rsid w:val="00C73206"/>
    <w:rsid w:val="00C733A4"/>
    <w:rsid w:val="00C74FB1"/>
    <w:rsid w:val="00C757A0"/>
    <w:rsid w:val="00C760DE"/>
    <w:rsid w:val="00C80646"/>
    <w:rsid w:val="00C80E03"/>
    <w:rsid w:val="00C822C4"/>
    <w:rsid w:val="00C82630"/>
    <w:rsid w:val="00C8301E"/>
    <w:rsid w:val="00C85B4E"/>
    <w:rsid w:val="00C8750C"/>
    <w:rsid w:val="00C90060"/>
    <w:rsid w:val="00C907F7"/>
    <w:rsid w:val="00C92CB1"/>
    <w:rsid w:val="00C946F9"/>
    <w:rsid w:val="00C94EE4"/>
    <w:rsid w:val="00CA0122"/>
    <w:rsid w:val="00CA2103"/>
    <w:rsid w:val="00CA2737"/>
    <w:rsid w:val="00CA28DE"/>
    <w:rsid w:val="00CA7C20"/>
    <w:rsid w:val="00CB22FB"/>
    <w:rsid w:val="00CB3198"/>
    <w:rsid w:val="00CB4592"/>
    <w:rsid w:val="00CB5E77"/>
    <w:rsid w:val="00CB6B99"/>
    <w:rsid w:val="00CC07C2"/>
    <w:rsid w:val="00CC118B"/>
    <w:rsid w:val="00CC2459"/>
    <w:rsid w:val="00CC2837"/>
    <w:rsid w:val="00CC3ED0"/>
    <w:rsid w:val="00CC59C6"/>
    <w:rsid w:val="00CD13DE"/>
    <w:rsid w:val="00CD227A"/>
    <w:rsid w:val="00CD2586"/>
    <w:rsid w:val="00CD6231"/>
    <w:rsid w:val="00CE0268"/>
    <w:rsid w:val="00CE2295"/>
    <w:rsid w:val="00CE22BA"/>
    <w:rsid w:val="00CE35E3"/>
    <w:rsid w:val="00CE38D2"/>
    <w:rsid w:val="00CE4C87"/>
    <w:rsid w:val="00CE544A"/>
    <w:rsid w:val="00CE6D84"/>
    <w:rsid w:val="00CF1192"/>
    <w:rsid w:val="00CF32A7"/>
    <w:rsid w:val="00CF4E15"/>
    <w:rsid w:val="00CF57EB"/>
    <w:rsid w:val="00CF62B2"/>
    <w:rsid w:val="00D02009"/>
    <w:rsid w:val="00D0399D"/>
    <w:rsid w:val="00D03E7C"/>
    <w:rsid w:val="00D11622"/>
    <w:rsid w:val="00D11E1C"/>
    <w:rsid w:val="00D12262"/>
    <w:rsid w:val="00D132E5"/>
    <w:rsid w:val="00D160B0"/>
    <w:rsid w:val="00D163D7"/>
    <w:rsid w:val="00D16B20"/>
    <w:rsid w:val="00D17F94"/>
    <w:rsid w:val="00D209CA"/>
    <w:rsid w:val="00D2161E"/>
    <w:rsid w:val="00D223FC"/>
    <w:rsid w:val="00D22960"/>
    <w:rsid w:val="00D241FF"/>
    <w:rsid w:val="00D24DD4"/>
    <w:rsid w:val="00D25A03"/>
    <w:rsid w:val="00D26D1E"/>
    <w:rsid w:val="00D35756"/>
    <w:rsid w:val="00D357A0"/>
    <w:rsid w:val="00D3622B"/>
    <w:rsid w:val="00D4040D"/>
    <w:rsid w:val="00D413B8"/>
    <w:rsid w:val="00D44947"/>
    <w:rsid w:val="00D45E2B"/>
    <w:rsid w:val="00D474CF"/>
    <w:rsid w:val="00D51A4D"/>
    <w:rsid w:val="00D54C87"/>
    <w:rsid w:val="00D5547E"/>
    <w:rsid w:val="00D563F6"/>
    <w:rsid w:val="00D56E95"/>
    <w:rsid w:val="00D57076"/>
    <w:rsid w:val="00D60200"/>
    <w:rsid w:val="00D67885"/>
    <w:rsid w:val="00D7046B"/>
    <w:rsid w:val="00D71DDE"/>
    <w:rsid w:val="00D72C8D"/>
    <w:rsid w:val="00D7667D"/>
    <w:rsid w:val="00D76AA5"/>
    <w:rsid w:val="00D77751"/>
    <w:rsid w:val="00D819B3"/>
    <w:rsid w:val="00D82027"/>
    <w:rsid w:val="00D8272F"/>
    <w:rsid w:val="00D869A1"/>
    <w:rsid w:val="00D905C7"/>
    <w:rsid w:val="00D9110B"/>
    <w:rsid w:val="00D96B11"/>
    <w:rsid w:val="00D977D6"/>
    <w:rsid w:val="00DA413F"/>
    <w:rsid w:val="00DA4584"/>
    <w:rsid w:val="00DA614B"/>
    <w:rsid w:val="00DA74DA"/>
    <w:rsid w:val="00DB0200"/>
    <w:rsid w:val="00DB13DB"/>
    <w:rsid w:val="00DB40A3"/>
    <w:rsid w:val="00DB5E73"/>
    <w:rsid w:val="00DB71EB"/>
    <w:rsid w:val="00DC182C"/>
    <w:rsid w:val="00DC1F43"/>
    <w:rsid w:val="00DC23A9"/>
    <w:rsid w:val="00DC3060"/>
    <w:rsid w:val="00DD03F8"/>
    <w:rsid w:val="00DD2353"/>
    <w:rsid w:val="00DD2B83"/>
    <w:rsid w:val="00DD396E"/>
    <w:rsid w:val="00DD512B"/>
    <w:rsid w:val="00DD54A8"/>
    <w:rsid w:val="00DD6652"/>
    <w:rsid w:val="00DD722C"/>
    <w:rsid w:val="00DE041F"/>
    <w:rsid w:val="00DE08E5"/>
    <w:rsid w:val="00DE0FB2"/>
    <w:rsid w:val="00DE1458"/>
    <w:rsid w:val="00DE2F66"/>
    <w:rsid w:val="00DE2F8F"/>
    <w:rsid w:val="00DE3268"/>
    <w:rsid w:val="00DE5019"/>
    <w:rsid w:val="00DE5C00"/>
    <w:rsid w:val="00DE77AE"/>
    <w:rsid w:val="00DF093E"/>
    <w:rsid w:val="00DF098E"/>
    <w:rsid w:val="00DF2F9B"/>
    <w:rsid w:val="00DF4738"/>
    <w:rsid w:val="00DF7BEF"/>
    <w:rsid w:val="00E001B2"/>
    <w:rsid w:val="00E00881"/>
    <w:rsid w:val="00E01F42"/>
    <w:rsid w:val="00E107CA"/>
    <w:rsid w:val="00E141C6"/>
    <w:rsid w:val="00E1547F"/>
    <w:rsid w:val="00E155EB"/>
    <w:rsid w:val="00E157FF"/>
    <w:rsid w:val="00E16948"/>
    <w:rsid w:val="00E206D6"/>
    <w:rsid w:val="00E2220D"/>
    <w:rsid w:val="00E26741"/>
    <w:rsid w:val="00E270C4"/>
    <w:rsid w:val="00E274DB"/>
    <w:rsid w:val="00E3160F"/>
    <w:rsid w:val="00E3210A"/>
    <w:rsid w:val="00E3307B"/>
    <w:rsid w:val="00E3366E"/>
    <w:rsid w:val="00E3407B"/>
    <w:rsid w:val="00E35CFA"/>
    <w:rsid w:val="00E35E8D"/>
    <w:rsid w:val="00E37251"/>
    <w:rsid w:val="00E40753"/>
    <w:rsid w:val="00E41F54"/>
    <w:rsid w:val="00E42EBA"/>
    <w:rsid w:val="00E44A0A"/>
    <w:rsid w:val="00E45179"/>
    <w:rsid w:val="00E52086"/>
    <w:rsid w:val="00E543A6"/>
    <w:rsid w:val="00E54D43"/>
    <w:rsid w:val="00E57026"/>
    <w:rsid w:val="00E6010D"/>
    <w:rsid w:val="00E60479"/>
    <w:rsid w:val="00E605C7"/>
    <w:rsid w:val="00E61D73"/>
    <w:rsid w:val="00E64E47"/>
    <w:rsid w:val="00E6798C"/>
    <w:rsid w:val="00E73355"/>
    <w:rsid w:val="00E73684"/>
    <w:rsid w:val="00E80686"/>
    <w:rsid w:val="00E818D6"/>
    <w:rsid w:val="00E835AB"/>
    <w:rsid w:val="00E83E04"/>
    <w:rsid w:val="00E83E58"/>
    <w:rsid w:val="00E8497C"/>
    <w:rsid w:val="00E854A0"/>
    <w:rsid w:val="00E86916"/>
    <w:rsid w:val="00E87F7A"/>
    <w:rsid w:val="00E93733"/>
    <w:rsid w:val="00E93B26"/>
    <w:rsid w:val="00E96BD7"/>
    <w:rsid w:val="00E96D58"/>
    <w:rsid w:val="00EA0DB1"/>
    <w:rsid w:val="00EA0EE9"/>
    <w:rsid w:val="00EA3130"/>
    <w:rsid w:val="00EA3797"/>
    <w:rsid w:val="00EA41DD"/>
    <w:rsid w:val="00EA7FF7"/>
    <w:rsid w:val="00EB068A"/>
    <w:rsid w:val="00EB1DA7"/>
    <w:rsid w:val="00EB338F"/>
    <w:rsid w:val="00EB3453"/>
    <w:rsid w:val="00EB34DB"/>
    <w:rsid w:val="00EB54FB"/>
    <w:rsid w:val="00EB59E9"/>
    <w:rsid w:val="00EB5BD4"/>
    <w:rsid w:val="00EB66F1"/>
    <w:rsid w:val="00EC3957"/>
    <w:rsid w:val="00EC4A78"/>
    <w:rsid w:val="00EC7FEC"/>
    <w:rsid w:val="00ED0A5F"/>
    <w:rsid w:val="00ED107E"/>
    <w:rsid w:val="00ED1345"/>
    <w:rsid w:val="00ED1971"/>
    <w:rsid w:val="00ED4F53"/>
    <w:rsid w:val="00ED52CA"/>
    <w:rsid w:val="00ED5860"/>
    <w:rsid w:val="00ED63D5"/>
    <w:rsid w:val="00EE1828"/>
    <w:rsid w:val="00EE1B3E"/>
    <w:rsid w:val="00EE1B74"/>
    <w:rsid w:val="00EE35C9"/>
    <w:rsid w:val="00EE39AE"/>
    <w:rsid w:val="00EF2C78"/>
    <w:rsid w:val="00EF4198"/>
    <w:rsid w:val="00EF7982"/>
    <w:rsid w:val="00F0438B"/>
    <w:rsid w:val="00F0529A"/>
    <w:rsid w:val="00F05ECA"/>
    <w:rsid w:val="00F07707"/>
    <w:rsid w:val="00F10D06"/>
    <w:rsid w:val="00F12D52"/>
    <w:rsid w:val="00F13BA9"/>
    <w:rsid w:val="00F1491F"/>
    <w:rsid w:val="00F169FA"/>
    <w:rsid w:val="00F237B7"/>
    <w:rsid w:val="00F24043"/>
    <w:rsid w:val="00F241B0"/>
    <w:rsid w:val="00F24538"/>
    <w:rsid w:val="00F24816"/>
    <w:rsid w:val="00F268C2"/>
    <w:rsid w:val="00F26F53"/>
    <w:rsid w:val="00F30D07"/>
    <w:rsid w:val="00F3566E"/>
    <w:rsid w:val="00F36259"/>
    <w:rsid w:val="00F3666F"/>
    <w:rsid w:val="00F375FB"/>
    <w:rsid w:val="00F41AC1"/>
    <w:rsid w:val="00F431BC"/>
    <w:rsid w:val="00F4367A"/>
    <w:rsid w:val="00F445B1"/>
    <w:rsid w:val="00F44B49"/>
    <w:rsid w:val="00F45CD4"/>
    <w:rsid w:val="00F469EE"/>
    <w:rsid w:val="00F47EB1"/>
    <w:rsid w:val="00F50468"/>
    <w:rsid w:val="00F50617"/>
    <w:rsid w:val="00F50CCD"/>
    <w:rsid w:val="00F50D59"/>
    <w:rsid w:val="00F52E15"/>
    <w:rsid w:val="00F54052"/>
    <w:rsid w:val="00F556AC"/>
    <w:rsid w:val="00F563F3"/>
    <w:rsid w:val="00F571F9"/>
    <w:rsid w:val="00F57900"/>
    <w:rsid w:val="00F60BBF"/>
    <w:rsid w:val="00F66DCA"/>
    <w:rsid w:val="00F67E17"/>
    <w:rsid w:val="00F70883"/>
    <w:rsid w:val="00F71ABE"/>
    <w:rsid w:val="00F71E55"/>
    <w:rsid w:val="00F74877"/>
    <w:rsid w:val="00F74F53"/>
    <w:rsid w:val="00F75549"/>
    <w:rsid w:val="00F7606D"/>
    <w:rsid w:val="00F77F98"/>
    <w:rsid w:val="00F81670"/>
    <w:rsid w:val="00F82024"/>
    <w:rsid w:val="00F82D52"/>
    <w:rsid w:val="00F93CA3"/>
    <w:rsid w:val="00F93E8D"/>
    <w:rsid w:val="00F95BC9"/>
    <w:rsid w:val="00F96A87"/>
    <w:rsid w:val="00F97C01"/>
    <w:rsid w:val="00F97D4B"/>
    <w:rsid w:val="00FA0868"/>
    <w:rsid w:val="00FA0C2D"/>
    <w:rsid w:val="00FA171C"/>
    <w:rsid w:val="00FA33B1"/>
    <w:rsid w:val="00FA385D"/>
    <w:rsid w:val="00FA4A8D"/>
    <w:rsid w:val="00FA5744"/>
    <w:rsid w:val="00FA578E"/>
    <w:rsid w:val="00FA624C"/>
    <w:rsid w:val="00FB072C"/>
    <w:rsid w:val="00FB1EEB"/>
    <w:rsid w:val="00FB282D"/>
    <w:rsid w:val="00FB2971"/>
    <w:rsid w:val="00FB4868"/>
    <w:rsid w:val="00FB70AC"/>
    <w:rsid w:val="00FB74B9"/>
    <w:rsid w:val="00FC1A3D"/>
    <w:rsid w:val="00FC262C"/>
    <w:rsid w:val="00FC3B1D"/>
    <w:rsid w:val="00FC5319"/>
    <w:rsid w:val="00FC6745"/>
    <w:rsid w:val="00FD0FAC"/>
    <w:rsid w:val="00FD1DFA"/>
    <w:rsid w:val="00FD262F"/>
    <w:rsid w:val="00FD4134"/>
    <w:rsid w:val="00FD4966"/>
    <w:rsid w:val="00FD5342"/>
    <w:rsid w:val="00FD5A79"/>
    <w:rsid w:val="00FE1E6D"/>
    <w:rsid w:val="00FE35F3"/>
    <w:rsid w:val="00FE3A39"/>
    <w:rsid w:val="00FE5735"/>
    <w:rsid w:val="00FE57DC"/>
    <w:rsid w:val="00FE5BBF"/>
    <w:rsid w:val="00FE7460"/>
    <w:rsid w:val="00FF0214"/>
    <w:rsid w:val="00FF1DFE"/>
    <w:rsid w:val="00FF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54461A4-AC33-419F-A5D1-419DF78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76"/>
    <w:pPr>
      <w:spacing w:after="120"/>
    </w:pPr>
    <w:rPr>
      <w:color w:val="000000"/>
      <w:sz w:val="24"/>
      <w:szCs w:val="24"/>
    </w:rPr>
  </w:style>
  <w:style w:type="paragraph" w:styleId="Heading1">
    <w:name w:val="heading 1"/>
    <w:aliases w:val="aHeading"/>
    <w:basedOn w:val="Normal"/>
    <w:next w:val="Normal"/>
    <w:link w:val="Heading1Char"/>
    <w:qFormat/>
    <w:rsid w:val="00404032"/>
    <w:pPr>
      <w:spacing w:before="240"/>
      <w:outlineLvl w:val="0"/>
    </w:pPr>
    <w:rPr>
      <w:b/>
    </w:rPr>
  </w:style>
  <w:style w:type="paragraph" w:styleId="Heading2">
    <w:name w:val="heading 2"/>
    <w:aliases w:val="Sub-heading"/>
    <w:basedOn w:val="Normal"/>
    <w:next w:val="Normal"/>
    <w:qFormat/>
    <w:rsid w:val="00404032"/>
    <w:pP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A6D2F"/>
    <w:pPr>
      <w:tabs>
        <w:tab w:val="center" w:pos="4153"/>
        <w:tab w:val="right" w:pos="8306"/>
      </w:tabs>
    </w:pPr>
    <w:rPr>
      <w:sz w:val="18"/>
    </w:rPr>
  </w:style>
  <w:style w:type="paragraph" w:styleId="Footer">
    <w:name w:val="footer"/>
    <w:aliases w:val="zzFooter"/>
    <w:basedOn w:val="Normal"/>
    <w:rsid w:val="004A6D2F"/>
    <w:pPr>
      <w:tabs>
        <w:tab w:val="center" w:pos="4153"/>
        <w:tab w:val="right" w:pos="8306"/>
      </w:tabs>
    </w:pPr>
    <w:rPr>
      <w:sz w:val="1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numbering" w:customStyle="1" w:styleId="StyleBulletedSymbolsymbolLeft063cmHanging063cm">
    <w:name w:val="Style Bulleted Symbol (symbol) Left:  0.63 cm Hanging:  0.63 cm"/>
    <w:basedOn w:val="NoList"/>
    <w:rsid w:val="00E818D6"/>
    <w:pPr>
      <w:numPr>
        <w:numId w:val="4"/>
      </w:numPr>
    </w:pPr>
  </w:style>
  <w:style w:type="character" w:styleId="PageNumber">
    <w:name w:val="page number"/>
    <w:rsid w:val="004A6D2F"/>
    <w:rPr>
      <w:rFonts w:ascii="Arial" w:hAnsi="Arial"/>
      <w:sz w:val="18"/>
    </w:rPr>
  </w:style>
  <w:style w:type="character" w:styleId="Hyperlink">
    <w:name w:val="Hyperlink"/>
    <w:aliases w:val="set Hyperlink"/>
    <w:qFormat/>
    <w:rsid w:val="003D2574"/>
    <w:rPr>
      <w:rFonts w:ascii="Arial" w:hAnsi="Arial"/>
      <w:color w:val="0000FF"/>
      <w:sz w:val="24"/>
      <w:u w:val="single"/>
    </w:rPr>
  </w:style>
  <w:style w:type="table" w:styleId="TableGrid">
    <w:name w:val="Table Grid"/>
    <w:basedOn w:val="TableNormal"/>
    <w:rsid w:val="001A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E96BD7"/>
    <w:pPr>
      <w:spacing w:after="120"/>
    </w:pPr>
    <w:rPr>
      <w:color w:val="000000"/>
      <w:sz w:val="24"/>
      <w:szCs w:val="24"/>
      <w:lang w:eastAsia="en-US"/>
    </w:rPr>
  </w:style>
  <w:style w:type="paragraph" w:styleId="ListParagraph">
    <w:name w:val="List Paragraph"/>
    <w:basedOn w:val="Normal"/>
    <w:link w:val="ListParagraphChar"/>
    <w:uiPriority w:val="34"/>
    <w:qFormat/>
    <w:rsid w:val="005570B5"/>
    <w:pPr>
      <w:numPr>
        <w:numId w:val="2"/>
      </w:numPr>
      <w:tabs>
        <w:tab w:val="left" w:pos="426"/>
      </w:tabs>
    </w:pPr>
  </w:style>
  <w:style w:type="character" w:customStyle="1" w:styleId="HeaderChar">
    <w:name w:val="Header Char"/>
    <w:link w:val="Header"/>
    <w:uiPriority w:val="99"/>
    <w:rsid w:val="004A6D2F"/>
    <w:rPr>
      <w:rFonts w:ascii="Arial" w:hAnsi="Arial"/>
      <w:bCs/>
      <w:color w:val="000000"/>
      <w:sz w:val="18"/>
      <w:szCs w:val="24"/>
      <w:lang w:eastAsia="en-US"/>
    </w:rPr>
  </w:style>
  <w:style w:type="table" w:styleId="LightList-Accent2">
    <w:name w:val="Light List Accent 2"/>
    <w:basedOn w:val="TableNormal"/>
    <w:uiPriority w:val="61"/>
    <w:rsid w:val="00421CB2"/>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CB6B99"/>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9034EC"/>
    <w:pPr>
      <w:spacing w:after="120"/>
    </w:pPr>
    <w:rPr>
      <w:color w:val="000000"/>
      <w:sz w:val="24"/>
      <w:szCs w:val="24"/>
      <w:lang w:eastAsia="en-US"/>
    </w:rPr>
  </w:style>
  <w:style w:type="paragraph" w:customStyle="1" w:styleId="Tableandfigurecaption">
    <w:name w:val="Table and figure caption"/>
    <w:basedOn w:val="Heading2"/>
    <w:rsid w:val="00692627"/>
    <w:pPr>
      <w:ind w:left="360"/>
    </w:pPr>
    <w:rPr>
      <w:bCs/>
      <w:szCs w:val="20"/>
    </w:rPr>
  </w:style>
  <w:style w:type="numbering" w:customStyle="1" w:styleId="StyleNumberedLeft0cmHanging075cm">
    <w:name w:val="Style Numbered Left:  0 cm Hanging:  0.75 cm"/>
    <w:basedOn w:val="NoList"/>
    <w:rsid w:val="00E818D6"/>
    <w:pPr>
      <w:numPr>
        <w:numId w:val="1"/>
      </w:numPr>
    </w:pPr>
  </w:style>
  <w:style w:type="paragraph" w:customStyle="1" w:styleId="Bulletpoints">
    <w:name w:val="Bullet points"/>
    <w:basedOn w:val="Normal"/>
    <w:link w:val="BulletpointsChar"/>
    <w:qFormat/>
    <w:rsid w:val="005570B5"/>
    <w:pPr>
      <w:numPr>
        <w:numId w:val="3"/>
      </w:numPr>
      <w:tabs>
        <w:tab w:val="left" w:pos="993"/>
      </w:tabs>
      <w:ind w:left="993" w:hanging="425"/>
    </w:pPr>
  </w:style>
  <w:style w:type="paragraph" w:styleId="Quote">
    <w:name w:val="Quote"/>
    <w:basedOn w:val="Normal"/>
    <w:next w:val="Normal"/>
    <w:link w:val="QuoteChar"/>
    <w:uiPriority w:val="29"/>
    <w:qFormat/>
    <w:rsid w:val="004A6D2F"/>
    <w:rPr>
      <w:i/>
      <w:iCs/>
    </w:rPr>
  </w:style>
  <w:style w:type="character" w:customStyle="1" w:styleId="BulletpointsChar">
    <w:name w:val="Bullet points Char"/>
    <w:link w:val="Bulletpoints"/>
    <w:rsid w:val="005570B5"/>
    <w:rPr>
      <w:color w:val="000000"/>
      <w:sz w:val="24"/>
      <w:szCs w:val="24"/>
    </w:rPr>
  </w:style>
  <w:style w:type="character" w:customStyle="1" w:styleId="QuoteChar">
    <w:name w:val="Quote Char"/>
    <w:link w:val="Quote"/>
    <w:uiPriority w:val="29"/>
    <w:rsid w:val="004A6D2F"/>
    <w:rPr>
      <w:rFonts w:ascii="Arial" w:hAnsi="Arial"/>
      <w:i/>
      <w:iCs/>
      <w:color w:val="000000"/>
      <w:sz w:val="24"/>
      <w:szCs w:val="24"/>
      <w:lang w:eastAsia="en-US"/>
    </w:rPr>
  </w:style>
  <w:style w:type="character" w:customStyle="1" w:styleId="Firstpagetablebold">
    <w:name w:val="First page table: bold"/>
    <w:qFormat/>
    <w:rsid w:val="005D1E27"/>
    <w:rPr>
      <w:rFonts w:ascii="Arial" w:hAnsi="Arial"/>
      <w:b/>
      <w:sz w:val="24"/>
    </w:rPr>
  </w:style>
  <w:style w:type="paragraph" w:customStyle="1" w:styleId="bParagraphtext">
    <w:name w:val="bParagraph text"/>
    <w:basedOn w:val="ListParagraph"/>
    <w:link w:val="bParagraphtextChar"/>
    <w:qFormat/>
    <w:rsid w:val="004268B9"/>
  </w:style>
  <w:style w:type="paragraph" w:styleId="Caption">
    <w:name w:val="caption"/>
    <w:basedOn w:val="Normal"/>
    <w:next w:val="Normal"/>
    <w:unhideWhenUsed/>
    <w:qFormat/>
    <w:rsid w:val="0093067A"/>
    <w:pPr>
      <w:spacing w:before="120"/>
      <w:jc w:val="center"/>
    </w:pPr>
    <w:rPr>
      <w:b/>
      <w:bCs/>
      <w:sz w:val="20"/>
      <w:szCs w:val="20"/>
    </w:rPr>
  </w:style>
  <w:style w:type="character" w:customStyle="1" w:styleId="ListParagraphChar">
    <w:name w:val="List Paragraph Char"/>
    <w:link w:val="ListParagraph"/>
    <w:uiPriority w:val="34"/>
    <w:rsid w:val="005570B5"/>
    <w:rPr>
      <w:color w:val="000000"/>
      <w:sz w:val="24"/>
      <w:szCs w:val="24"/>
    </w:rPr>
  </w:style>
  <w:style w:type="character" w:customStyle="1" w:styleId="bParagraphtextChar">
    <w:name w:val="bParagraph text Char"/>
    <w:link w:val="bParagraphtext"/>
    <w:rsid w:val="005570B5"/>
    <w:rPr>
      <w:color w:val="000000"/>
      <w:sz w:val="24"/>
      <w:szCs w:val="24"/>
    </w:rPr>
  </w:style>
  <w:style w:type="paragraph" w:customStyle="1" w:styleId="Numberedlist">
    <w:name w:val="Numbered list"/>
    <w:basedOn w:val="Bulletpoints"/>
    <w:link w:val="NumberedlistChar"/>
    <w:qFormat/>
    <w:rsid w:val="004738C5"/>
    <w:pPr>
      <w:numPr>
        <w:numId w:val="5"/>
      </w:numPr>
      <w:ind w:left="993" w:hanging="426"/>
    </w:pPr>
  </w:style>
  <w:style w:type="character" w:customStyle="1" w:styleId="Heading1Char">
    <w:name w:val="Heading 1 Char"/>
    <w:aliases w:val="aHeading Char"/>
    <w:link w:val="Heading1"/>
    <w:rsid w:val="0050321C"/>
    <w:rPr>
      <w:rFonts w:ascii="Arial" w:hAnsi="Arial"/>
      <w:b/>
      <w:bCs/>
      <w:color w:val="000000"/>
      <w:sz w:val="24"/>
      <w:szCs w:val="24"/>
      <w:lang w:eastAsia="en-US"/>
    </w:rPr>
  </w:style>
  <w:style w:type="paragraph" w:styleId="TOAHeading">
    <w:name w:val="toa heading"/>
    <w:basedOn w:val="Normal"/>
    <w:next w:val="Normal"/>
    <w:rsid w:val="005570B5"/>
    <w:pPr>
      <w:spacing w:before="120"/>
    </w:pPr>
    <w:rPr>
      <w:rFonts w:ascii="Cambria" w:hAnsi="Cambria"/>
      <w:b/>
      <w:bCs/>
    </w:rPr>
  </w:style>
  <w:style w:type="character" w:customStyle="1" w:styleId="NumberedlistChar">
    <w:name w:val="Numbered list Char"/>
    <w:link w:val="Numberedlist"/>
    <w:rsid w:val="004738C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742">
      <w:bodyDiv w:val="1"/>
      <w:marLeft w:val="0"/>
      <w:marRight w:val="0"/>
      <w:marTop w:val="0"/>
      <w:marBottom w:val="0"/>
      <w:divBdr>
        <w:top w:val="none" w:sz="0" w:space="0" w:color="auto"/>
        <w:left w:val="none" w:sz="0" w:space="0" w:color="auto"/>
        <w:bottom w:val="none" w:sz="0" w:space="0" w:color="auto"/>
        <w:right w:val="none" w:sz="0" w:space="0" w:color="auto"/>
      </w:divBdr>
    </w:div>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286548607">
      <w:bodyDiv w:val="1"/>
      <w:marLeft w:val="0"/>
      <w:marRight w:val="0"/>
      <w:marTop w:val="0"/>
      <w:marBottom w:val="0"/>
      <w:divBdr>
        <w:top w:val="none" w:sz="0" w:space="0" w:color="auto"/>
        <w:left w:val="none" w:sz="0" w:space="0" w:color="auto"/>
        <w:bottom w:val="none" w:sz="0" w:space="0" w:color="auto"/>
        <w:right w:val="none" w:sz="0" w:space="0" w:color="auto"/>
      </w:divBdr>
    </w:div>
    <w:div w:id="303044181">
      <w:bodyDiv w:val="1"/>
      <w:marLeft w:val="0"/>
      <w:marRight w:val="0"/>
      <w:marTop w:val="0"/>
      <w:marBottom w:val="0"/>
      <w:divBdr>
        <w:top w:val="none" w:sz="0" w:space="0" w:color="auto"/>
        <w:left w:val="none" w:sz="0" w:space="0" w:color="auto"/>
        <w:bottom w:val="none" w:sz="0" w:space="0" w:color="auto"/>
        <w:right w:val="none" w:sz="0" w:space="0" w:color="auto"/>
      </w:divBdr>
    </w:div>
    <w:div w:id="344283736">
      <w:bodyDiv w:val="1"/>
      <w:marLeft w:val="0"/>
      <w:marRight w:val="0"/>
      <w:marTop w:val="0"/>
      <w:marBottom w:val="0"/>
      <w:divBdr>
        <w:top w:val="none" w:sz="0" w:space="0" w:color="auto"/>
        <w:left w:val="none" w:sz="0" w:space="0" w:color="auto"/>
        <w:bottom w:val="none" w:sz="0" w:space="0" w:color="auto"/>
        <w:right w:val="none" w:sz="0" w:space="0" w:color="auto"/>
      </w:divBdr>
    </w:div>
    <w:div w:id="363673577">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442385168">
      <w:bodyDiv w:val="1"/>
      <w:marLeft w:val="0"/>
      <w:marRight w:val="0"/>
      <w:marTop w:val="0"/>
      <w:marBottom w:val="0"/>
      <w:divBdr>
        <w:top w:val="none" w:sz="0" w:space="0" w:color="auto"/>
        <w:left w:val="none" w:sz="0" w:space="0" w:color="auto"/>
        <w:bottom w:val="none" w:sz="0" w:space="0" w:color="auto"/>
        <w:right w:val="none" w:sz="0" w:space="0" w:color="auto"/>
      </w:divBdr>
    </w:div>
    <w:div w:id="466897240">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0668300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799569508">
      <w:bodyDiv w:val="1"/>
      <w:marLeft w:val="0"/>
      <w:marRight w:val="0"/>
      <w:marTop w:val="0"/>
      <w:marBottom w:val="0"/>
      <w:divBdr>
        <w:top w:val="none" w:sz="0" w:space="0" w:color="auto"/>
        <w:left w:val="none" w:sz="0" w:space="0" w:color="auto"/>
        <w:bottom w:val="none" w:sz="0" w:space="0" w:color="auto"/>
        <w:right w:val="none" w:sz="0" w:space="0" w:color="auto"/>
      </w:divBdr>
    </w:div>
    <w:div w:id="853111704">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129589206">
      <w:bodyDiv w:val="1"/>
      <w:marLeft w:val="0"/>
      <w:marRight w:val="0"/>
      <w:marTop w:val="0"/>
      <w:marBottom w:val="0"/>
      <w:divBdr>
        <w:top w:val="none" w:sz="0" w:space="0" w:color="auto"/>
        <w:left w:val="none" w:sz="0" w:space="0" w:color="auto"/>
        <w:bottom w:val="none" w:sz="0" w:space="0" w:color="auto"/>
        <w:right w:val="none" w:sz="0" w:space="0" w:color="auto"/>
      </w:divBdr>
    </w:div>
    <w:div w:id="1206017450">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371569778">
      <w:bodyDiv w:val="1"/>
      <w:marLeft w:val="0"/>
      <w:marRight w:val="0"/>
      <w:marTop w:val="0"/>
      <w:marBottom w:val="0"/>
      <w:divBdr>
        <w:top w:val="none" w:sz="0" w:space="0" w:color="auto"/>
        <w:left w:val="none" w:sz="0" w:space="0" w:color="auto"/>
        <w:bottom w:val="none" w:sz="0" w:space="0" w:color="auto"/>
        <w:right w:val="none" w:sz="0" w:space="0" w:color="auto"/>
      </w:divBdr>
    </w:div>
    <w:div w:id="1375959645">
      <w:bodyDiv w:val="1"/>
      <w:marLeft w:val="0"/>
      <w:marRight w:val="0"/>
      <w:marTop w:val="0"/>
      <w:marBottom w:val="0"/>
      <w:divBdr>
        <w:top w:val="none" w:sz="0" w:space="0" w:color="auto"/>
        <w:left w:val="none" w:sz="0" w:space="0" w:color="auto"/>
        <w:bottom w:val="none" w:sz="0" w:space="0" w:color="auto"/>
        <w:right w:val="none" w:sz="0" w:space="0" w:color="auto"/>
      </w:divBdr>
    </w:div>
    <w:div w:id="1407876481">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 w:id="1591618516">
      <w:bodyDiv w:val="1"/>
      <w:marLeft w:val="0"/>
      <w:marRight w:val="0"/>
      <w:marTop w:val="0"/>
      <w:marBottom w:val="0"/>
      <w:divBdr>
        <w:top w:val="none" w:sz="0" w:space="0" w:color="auto"/>
        <w:left w:val="none" w:sz="0" w:space="0" w:color="auto"/>
        <w:bottom w:val="none" w:sz="0" w:space="0" w:color="auto"/>
        <w:right w:val="none" w:sz="0" w:space="0" w:color="auto"/>
      </w:divBdr>
    </w:div>
    <w:div w:id="1866668754">
      <w:bodyDiv w:val="1"/>
      <w:marLeft w:val="0"/>
      <w:marRight w:val="0"/>
      <w:marTop w:val="0"/>
      <w:marBottom w:val="0"/>
      <w:divBdr>
        <w:top w:val="none" w:sz="0" w:space="0" w:color="auto"/>
        <w:left w:val="none" w:sz="0" w:space="0" w:color="auto"/>
        <w:bottom w:val="none" w:sz="0" w:space="0" w:color="auto"/>
        <w:right w:val="none" w:sz="0" w:space="0" w:color="auto"/>
      </w:divBdr>
    </w:div>
    <w:div w:id="1882592893">
      <w:bodyDiv w:val="1"/>
      <w:marLeft w:val="0"/>
      <w:marRight w:val="0"/>
      <w:marTop w:val="0"/>
      <w:marBottom w:val="0"/>
      <w:divBdr>
        <w:top w:val="none" w:sz="0" w:space="0" w:color="auto"/>
        <w:left w:val="none" w:sz="0" w:space="0" w:color="auto"/>
        <w:bottom w:val="none" w:sz="0" w:space="0" w:color="auto"/>
        <w:right w:val="none" w:sz="0" w:space="0" w:color="auto"/>
      </w:divBdr>
    </w:div>
    <w:div w:id="1999963011">
      <w:bodyDiv w:val="1"/>
      <w:marLeft w:val="0"/>
      <w:marRight w:val="0"/>
      <w:marTop w:val="0"/>
      <w:marBottom w:val="0"/>
      <w:divBdr>
        <w:top w:val="none" w:sz="0" w:space="0" w:color="auto"/>
        <w:left w:val="none" w:sz="0" w:space="0" w:color="auto"/>
        <w:bottom w:val="none" w:sz="0" w:space="0" w:color="auto"/>
        <w:right w:val="none" w:sz="0" w:space="0" w:color="auto"/>
      </w:divBdr>
    </w:div>
    <w:div w:id="2116362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ennedy@oxford.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A7747-5816-42A0-9A79-FCFDD014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10525EDA</Template>
  <TotalTime>9</TotalTime>
  <Pages>13</Pages>
  <Words>3725</Words>
  <Characters>19810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dc:creator>
  <cp:lastModifiedBy>MITCHELL John</cp:lastModifiedBy>
  <cp:revision>5</cp:revision>
  <cp:lastPrinted>2019-05-17T10:23:00Z</cp:lastPrinted>
  <dcterms:created xsi:type="dcterms:W3CDTF">2021-06-25T07:15:00Z</dcterms:created>
  <dcterms:modified xsi:type="dcterms:W3CDTF">2021-07-13T11:39:00Z</dcterms:modified>
</cp:coreProperties>
</file>